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AB7A0" w14:textId="69A639A7" w:rsidR="00C228C4" w:rsidRPr="00F93890" w:rsidRDefault="00C228C4" w:rsidP="00C228C4">
      <w:pPr>
        <w:pStyle w:val="Heading1"/>
        <w:rPr>
          <w:rFonts w:ascii="Arial" w:hAnsi="Arial" w:cs="Arial"/>
          <w:b/>
          <w:color w:val="auto"/>
        </w:rPr>
      </w:pPr>
      <w:r w:rsidRPr="00F93890">
        <w:rPr>
          <w:rFonts w:ascii="Arial" w:hAnsi="Arial" w:cs="Arial"/>
          <w:b/>
          <w:color w:val="auto"/>
        </w:rPr>
        <w:t>Impact Reports to accrediting Professional Engineering Institutions</w:t>
      </w:r>
      <w:r w:rsidR="007929E3">
        <w:rPr>
          <w:rFonts w:ascii="Arial" w:hAnsi="Arial" w:cs="Arial"/>
          <w:b/>
          <w:color w:val="auto"/>
        </w:rPr>
        <w:t xml:space="preserve"> – 2020-21 academic year</w:t>
      </w:r>
    </w:p>
    <w:p w14:paraId="2A436BBD" w14:textId="4CE0D56D" w:rsidR="00C228C4" w:rsidRPr="007929E3" w:rsidRDefault="007929E3" w:rsidP="00C228C4">
      <w:pPr>
        <w:rPr>
          <w:rFonts w:ascii="Arial" w:hAnsi="Arial" w:cs="Arial"/>
          <w:b/>
          <w:bCs/>
        </w:rPr>
      </w:pPr>
      <w:r>
        <w:rPr>
          <w:rFonts w:ascii="Arial" w:hAnsi="Arial" w:cs="Arial"/>
          <w:b/>
          <w:bCs/>
        </w:rPr>
        <w:t>(Changes from 2019-20 are highlighted in bold)</w:t>
      </w:r>
    </w:p>
    <w:p w14:paraId="5B3C0C5C" w14:textId="0C120B6A" w:rsidR="00C228C4" w:rsidRPr="00F93890" w:rsidRDefault="00C228C4" w:rsidP="00C228C4">
      <w:pPr>
        <w:jc w:val="both"/>
        <w:rPr>
          <w:rFonts w:ascii="Arial" w:hAnsi="Arial" w:cs="Arial"/>
        </w:rPr>
      </w:pPr>
      <w:r w:rsidRPr="00F93890">
        <w:rPr>
          <w:rFonts w:ascii="Arial" w:hAnsi="Arial" w:cs="Arial"/>
        </w:rPr>
        <w:t xml:space="preserve">The Engineering Council and Professional Engineering Institutions (PEIs) recognise that during the current COVID-19 outbreak and consequent </w:t>
      </w:r>
      <w:r w:rsidR="007929E3">
        <w:rPr>
          <w:rFonts w:ascii="Arial" w:hAnsi="Arial" w:cs="Arial"/>
        </w:rPr>
        <w:t xml:space="preserve">periodic </w:t>
      </w:r>
      <w:r w:rsidRPr="00F93890">
        <w:rPr>
          <w:rFonts w:ascii="Arial" w:hAnsi="Arial" w:cs="Arial"/>
        </w:rPr>
        <w:t>closure</w:t>
      </w:r>
      <w:r w:rsidR="007929E3">
        <w:rPr>
          <w:rFonts w:ascii="Arial" w:hAnsi="Arial" w:cs="Arial"/>
        </w:rPr>
        <w:t>s</w:t>
      </w:r>
      <w:r w:rsidRPr="00F93890">
        <w:rPr>
          <w:rFonts w:ascii="Arial" w:hAnsi="Arial" w:cs="Arial"/>
        </w:rPr>
        <w:t xml:space="preserve"> of universities and colleges, adjustments to the delivery and assessment of engineering degree programmes are unavoidable.</w:t>
      </w:r>
      <w:r w:rsidR="00F93890">
        <w:rPr>
          <w:rFonts w:ascii="Arial" w:hAnsi="Arial" w:cs="Arial"/>
        </w:rPr>
        <w:t xml:space="preserve"> </w:t>
      </w:r>
    </w:p>
    <w:p w14:paraId="29B314EB" w14:textId="011BB081" w:rsidR="00C228C4" w:rsidRPr="00F93890" w:rsidRDefault="00C228C4" w:rsidP="00C228C4">
      <w:pPr>
        <w:jc w:val="both"/>
        <w:rPr>
          <w:rFonts w:ascii="Arial" w:hAnsi="Arial" w:cs="Arial"/>
        </w:rPr>
      </w:pPr>
      <w:r w:rsidRPr="00F93890">
        <w:rPr>
          <w:rFonts w:ascii="Arial" w:hAnsi="Arial" w:cs="Arial"/>
        </w:rPr>
        <w:t xml:space="preserve">It is expected that providers of accredited degrees will nevertheless aim to maintain delivery of full programmes. Adjustments may include to delivery format, order in which modules are delivered, assessment methodologies, re-scheduling of learning and assessment into alternative periods, and possibly extension of end dates to enable work that has had to be suspended to be completed and assessed. </w:t>
      </w:r>
    </w:p>
    <w:p w14:paraId="24AE1E43" w14:textId="77777777" w:rsidR="00171EB5" w:rsidRDefault="00C228C4" w:rsidP="00C228C4">
      <w:pPr>
        <w:jc w:val="both"/>
        <w:rPr>
          <w:rFonts w:ascii="Arial" w:hAnsi="Arial" w:cs="Arial"/>
        </w:rPr>
      </w:pPr>
      <w:r w:rsidRPr="00F93890">
        <w:rPr>
          <w:rFonts w:ascii="Arial" w:hAnsi="Arial" w:cs="Arial"/>
          <w:b/>
        </w:rPr>
        <w:t>It is a condition of accreditation that providers inform accrediting PEIs of any significant changes to programme delivery and assessment.</w:t>
      </w:r>
      <w:r w:rsidR="00F93890">
        <w:rPr>
          <w:rFonts w:ascii="Arial" w:hAnsi="Arial" w:cs="Arial"/>
          <w:b/>
        </w:rPr>
        <w:t xml:space="preserve"> </w:t>
      </w:r>
      <w:r w:rsidR="00F93890" w:rsidRPr="00F93890">
        <w:rPr>
          <w:rFonts w:ascii="Arial" w:hAnsi="Arial" w:cs="Arial"/>
          <w:bCs/>
        </w:rPr>
        <w:t>This template has been created to assist providers</w:t>
      </w:r>
      <w:r w:rsidR="00F93890">
        <w:rPr>
          <w:rFonts w:ascii="Arial" w:hAnsi="Arial" w:cs="Arial"/>
        </w:rPr>
        <w:t xml:space="preserve"> in submitting relevant information about adjustments, including </w:t>
      </w:r>
      <w:r w:rsidR="00171EB5">
        <w:rPr>
          <w:rFonts w:ascii="Arial" w:hAnsi="Arial" w:cs="Arial"/>
        </w:rPr>
        <w:t>those</w:t>
      </w:r>
      <w:r w:rsidR="00F93890">
        <w:rPr>
          <w:rFonts w:ascii="Arial" w:hAnsi="Arial" w:cs="Arial"/>
        </w:rPr>
        <w:t xml:space="preserve"> arising from factors </w:t>
      </w:r>
      <w:r w:rsidRPr="00F93890">
        <w:rPr>
          <w:rFonts w:ascii="Arial" w:hAnsi="Arial" w:cs="Arial"/>
        </w:rPr>
        <w:t>other than COVID-19</w:t>
      </w:r>
      <w:r w:rsidR="00171EB5">
        <w:rPr>
          <w:rFonts w:ascii="Arial" w:hAnsi="Arial" w:cs="Arial"/>
        </w:rPr>
        <w:t>,</w:t>
      </w:r>
      <w:r w:rsidRPr="00F93890">
        <w:rPr>
          <w:rFonts w:ascii="Arial" w:hAnsi="Arial" w:cs="Arial"/>
        </w:rPr>
        <w:t xml:space="preserve"> that ha</w:t>
      </w:r>
      <w:r w:rsidR="00F93890">
        <w:rPr>
          <w:rFonts w:ascii="Arial" w:hAnsi="Arial" w:cs="Arial"/>
        </w:rPr>
        <w:t>ve</w:t>
      </w:r>
      <w:r w:rsidRPr="00F93890">
        <w:rPr>
          <w:rFonts w:ascii="Arial" w:hAnsi="Arial" w:cs="Arial"/>
        </w:rPr>
        <w:t xml:space="preserve"> had an impact on programmes that needs to be notified to the accrediting PEI(s). </w:t>
      </w:r>
    </w:p>
    <w:p w14:paraId="24AD416F" w14:textId="60F7CC86" w:rsidR="00171EB5" w:rsidRDefault="00171EB5" w:rsidP="00C228C4">
      <w:pPr>
        <w:jc w:val="both"/>
        <w:rPr>
          <w:rFonts w:ascii="Arial" w:hAnsi="Arial" w:cs="Arial"/>
        </w:rPr>
      </w:pPr>
      <w:r>
        <w:rPr>
          <w:rFonts w:ascii="Arial" w:hAnsi="Arial" w:cs="Arial"/>
        </w:rPr>
        <w:t xml:space="preserve">The aim of the form is to keep the level of information to the minimum needed to enable PEIs to confirm that all graduates of an accredited programme have achieved all the required </w:t>
      </w:r>
      <w:r w:rsidR="00A26B84">
        <w:rPr>
          <w:rFonts w:ascii="Arial" w:hAnsi="Arial" w:cs="Arial"/>
        </w:rPr>
        <w:t xml:space="preserve">AHEP </w:t>
      </w:r>
      <w:r>
        <w:rPr>
          <w:rFonts w:ascii="Arial" w:hAnsi="Arial" w:cs="Arial"/>
        </w:rPr>
        <w:t>learning outcomes</w:t>
      </w:r>
      <w:r w:rsidR="00A26B84">
        <w:rPr>
          <w:rFonts w:ascii="Arial" w:hAnsi="Arial" w:cs="Arial"/>
        </w:rPr>
        <w:t xml:space="preserve">. </w:t>
      </w:r>
      <w:r w:rsidR="00A26B84">
        <w:rPr>
          <w:rFonts w:ascii="Arial" w:hAnsi="Arial" w:cs="Arial"/>
          <w:b/>
          <w:bCs/>
        </w:rPr>
        <w:t>T</w:t>
      </w:r>
      <w:r w:rsidR="007929E3" w:rsidRPr="007929E3">
        <w:rPr>
          <w:rFonts w:ascii="Arial" w:hAnsi="Arial" w:cs="Arial"/>
          <w:b/>
          <w:bCs/>
        </w:rPr>
        <w:t xml:space="preserve">he 2020-21 report template has been simplified to cover just </w:t>
      </w:r>
      <w:r w:rsidR="00D31D29">
        <w:rPr>
          <w:rFonts w:ascii="Arial" w:hAnsi="Arial" w:cs="Arial"/>
          <w:b/>
          <w:bCs/>
        </w:rPr>
        <w:t>5</w:t>
      </w:r>
      <w:r w:rsidR="007929E3" w:rsidRPr="007929E3">
        <w:rPr>
          <w:rFonts w:ascii="Arial" w:hAnsi="Arial" w:cs="Arial"/>
          <w:b/>
          <w:bCs/>
        </w:rPr>
        <w:t xml:space="preserve"> basic checks, in the light of feedback received from PEIs’ 2019-20 surveys</w:t>
      </w:r>
      <w:r w:rsidR="009C2845" w:rsidRPr="007929E3">
        <w:rPr>
          <w:rFonts w:ascii="Arial" w:hAnsi="Arial" w:cs="Arial"/>
          <w:b/>
          <w:bCs/>
        </w:rPr>
        <w:t>.</w:t>
      </w:r>
    </w:p>
    <w:p w14:paraId="4CE76794" w14:textId="501C0A04" w:rsidR="000607F4" w:rsidRDefault="007929E3" w:rsidP="00C228C4">
      <w:pPr>
        <w:jc w:val="both"/>
        <w:rPr>
          <w:rFonts w:ascii="Arial" w:hAnsi="Arial" w:cs="Arial"/>
        </w:rPr>
      </w:pPr>
      <w:r w:rsidRPr="007929E3">
        <w:rPr>
          <w:rFonts w:ascii="Arial" w:hAnsi="Arial" w:cs="Arial"/>
          <w:b/>
          <w:bCs/>
        </w:rPr>
        <w:t>The</w:t>
      </w:r>
      <w:r w:rsidR="005B3933" w:rsidRPr="007929E3">
        <w:rPr>
          <w:rFonts w:ascii="Arial" w:hAnsi="Arial" w:cs="Arial"/>
          <w:b/>
          <w:bCs/>
        </w:rPr>
        <w:t xml:space="preserve"> report should cover the whole academic year</w:t>
      </w:r>
      <w:r w:rsidRPr="007929E3">
        <w:rPr>
          <w:rFonts w:ascii="Arial" w:hAnsi="Arial" w:cs="Arial"/>
          <w:b/>
          <w:bCs/>
        </w:rPr>
        <w:t xml:space="preserve"> 2020-21</w:t>
      </w:r>
      <w:r w:rsidR="005B3933" w:rsidRPr="007929E3">
        <w:rPr>
          <w:rFonts w:ascii="Arial" w:hAnsi="Arial" w:cs="Arial"/>
          <w:b/>
          <w:bCs/>
        </w:rPr>
        <w:t xml:space="preserve"> and should be submitted once all changes for that year have been implemented</w:t>
      </w:r>
      <w:r w:rsidRPr="007929E3">
        <w:rPr>
          <w:rFonts w:ascii="Arial" w:hAnsi="Arial" w:cs="Arial"/>
          <w:b/>
          <w:bCs/>
        </w:rPr>
        <w:t>, and by the end of 2021,</w:t>
      </w:r>
      <w:r w:rsidR="005B3933" w:rsidRPr="007929E3">
        <w:rPr>
          <w:rFonts w:ascii="Arial" w:hAnsi="Arial" w:cs="Arial"/>
          <w:b/>
          <w:bCs/>
        </w:rPr>
        <w:t xml:space="preserve"> or before the start of the next re-accreditation process, if this is sooner</w:t>
      </w:r>
      <w:r w:rsidR="000607F4">
        <w:rPr>
          <w:rFonts w:ascii="Arial" w:hAnsi="Arial" w:cs="Arial"/>
          <w:b/>
          <w:bCs/>
        </w:rPr>
        <w:t xml:space="preserve">. No reporting is required at this stage on 2021-22 academic year, except to confirm assessment rules to be applied to accredited programmes in 2021-22 (see question </w:t>
      </w:r>
      <w:r w:rsidR="003B0615">
        <w:rPr>
          <w:rFonts w:ascii="Arial" w:hAnsi="Arial" w:cs="Arial"/>
          <w:b/>
          <w:bCs/>
        </w:rPr>
        <w:t>1</w:t>
      </w:r>
      <w:r w:rsidR="000607F4">
        <w:rPr>
          <w:rFonts w:ascii="Arial" w:hAnsi="Arial" w:cs="Arial"/>
          <w:b/>
          <w:bCs/>
        </w:rPr>
        <w:t xml:space="preserve"> of the report, below)</w:t>
      </w:r>
      <w:r w:rsidR="005B3933" w:rsidRPr="007929E3">
        <w:rPr>
          <w:rFonts w:ascii="Arial" w:hAnsi="Arial" w:cs="Arial"/>
          <w:b/>
          <w:bCs/>
        </w:rPr>
        <w:t>.</w:t>
      </w:r>
      <w:r w:rsidR="00C228C4" w:rsidRPr="00F93890">
        <w:rPr>
          <w:rFonts w:ascii="Arial" w:hAnsi="Arial" w:cs="Arial"/>
        </w:rPr>
        <w:t xml:space="preserve"> </w:t>
      </w:r>
    </w:p>
    <w:p w14:paraId="563639A3" w14:textId="56AF2AC3" w:rsidR="00C228C4" w:rsidRPr="00F93890" w:rsidRDefault="00C228C4" w:rsidP="00C228C4">
      <w:pPr>
        <w:jc w:val="both"/>
        <w:rPr>
          <w:rFonts w:ascii="Arial" w:hAnsi="Arial" w:cs="Arial"/>
        </w:rPr>
      </w:pPr>
      <w:r w:rsidRPr="00F93890">
        <w:rPr>
          <w:rFonts w:ascii="Arial" w:hAnsi="Arial" w:cs="Arial"/>
        </w:rPr>
        <w:t xml:space="preserve">The PEI(s) must be satisfied that all the AHEP learning outcomes at the required FHEQ/SCQF level will still be achieved by all graduates. Education providers must therefore maintain a fully documented record of changes, which demonstrates how all graduates will achieve the required learning outcomes, and keep accrediting PEIs informed. </w:t>
      </w:r>
    </w:p>
    <w:p w14:paraId="794DF9E1" w14:textId="3A6D22CB" w:rsidR="00C228C4" w:rsidRPr="00F93890" w:rsidRDefault="00C228C4" w:rsidP="00C228C4">
      <w:pPr>
        <w:jc w:val="both"/>
        <w:rPr>
          <w:rFonts w:ascii="Arial" w:hAnsi="Arial" w:cs="Arial"/>
        </w:rPr>
      </w:pPr>
      <w:r w:rsidRPr="00F93890">
        <w:rPr>
          <w:rFonts w:ascii="Arial" w:hAnsi="Arial" w:cs="Arial"/>
        </w:rPr>
        <w:t xml:space="preserve">The Engineering Council is not prescriptive regarding mode of delivery or assessment etc, although some PEIs may set specific requirements. Where a student is unable to complete a module or project that delivers required Learning Outcomes, the provider will need to set out the alternative mechanisms for assessing the achievement of those outcomes, and/or demonstrate that those particular Learning Outcomes are also achieved in other elements of the programme that have been successfully completed. </w:t>
      </w:r>
      <w:r w:rsidRPr="004F7F26">
        <w:rPr>
          <w:rFonts w:ascii="Arial" w:hAnsi="Arial" w:cs="Arial"/>
          <w:b/>
          <w:bCs/>
        </w:rPr>
        <w:t xml:space="preserve">Please note that where ‘no-detriment’ rules have been applied it is important that these will not permit a student to graduate with any condoned (failed) modules, or with more compensated modules than </w:t>
      </w:r>
      <w:r w:rsidR="001E2CF4">
        <w:rPr>
          <w:rFonts w:ascii="Arial" w:hAnsi="Arial" w:cs="Arial"/>
          <w:b/>
          <w:bCs/>
        </w:rPr>
        <w:t xml:space="preserve">your current </w:t>
      </w:r>
      <w:r w:rsidRPr="004F7F26">
        <w:rPr>
          <w:rFonts w:ascii="Arial" w:hAnsi="Arial" w:cs="Arial"/>
          <w:b/>
          <w:bCs/>
        </w:rPr>
        <w:t>accreditation allows</w:t>
      </w:r>
      <w:r w:rsidR="003003B3">
        <w:rPr>
          <w:rFonts w:ascii="Arial" w:hAnsi="Arial" w:cs="Arial"/>
          <w:b/>
          <w:bCs/>
        </w:rPr>
        <w:t>. T</w:t>
      </w:r>
      <w:r w:rsidR="004F7F26">
        <w:rPr>
          <w:rFonts w:ascii="Arial" w:hAnsi="Arial" w:cs="Arial"/>
          <w:b/>
          <w:bCs/>
        </w:rPr>
        <w:t>his Engineering Council rule</w:t>
      </w:r>
      <w:r w:rsidR="001E2CF4">
        <w:rPr>
          <w:rStyle w:val="FootnoteReference"/>
          <w:rFonts w:ascii="Arial" w:hAnsi="Arial" w:cs="Arial"/>
          <w:b/>
          <w:bCs/>
        </w:rPr>
        <w:footnoteReference w:customMarkFollows="1" w:id="1"/>
        <w:t>*</w:t>
      </w:r>
      <w:r w:rsidR="003003B3">
        <w:rPr>
          <w:rFonts w:ascii="Arial" w:hAnsi="Arial" w:cs="Arial"/>
          <w:b/>
          <w:bCs/>
        </w:rPr>
        <w:t xml:space="preserve"> </w:t>
      </w:r>
      <w:r w:rsidR="00D31D29">
        <w:rPr>
          <w:rFonts w:ascii="Arial" w:hAnsi="Arial" w:cs="Arial"/>
          <w:b/>
          <w:bCs/>
        </w:rPr>
        <w:t>will be expected to</w:t>
      </w:r>
      <w:r w:rsidR="003003B3">
        <w:rPr>
          <w:rFonts w:ascii="Arial" w:hAnsi="Arial" w:cs="Arial"/>
          <w:b/>
          <w:bCs/>
        </w:rPr>
        <w:t xml:space="preserve"> be applied without exception in 2021-22, to ensure no cohort of students are disadvantaged in achieving accredited engineering degrees</w:t>
      </w:r>
      <w:r w:rsidR="00FE3481">
        <w:rPr>
          <w:rFonts w:ascii="Arial" w:hAnsi="Arial" w:cs="Arial"/>
          <w:b/>
          <w:bCs/>
        </w:rPr>
        <w:t>, compared with engineering graduates from other cohorts</w:t>
      </w:r>
      <w:r w:rsidR="003B0615">
        <w:rPr>
          <w:rFonts w:ascii="Arial" w:hAnsi="Arial" w:cs="Arial"/>
          <w:b/>
          <w:bCs/>
        </w:rPr>
        <w:t xml:space="preserve"> (see question 1 of the report, below)</w:t>
      </w:r>
      <w:r w:rsidRPr="004F7F26">
        <w:rPr>
          <w:rFonts w:ascii="Arial" w:hAnsi="Arial" w:cs="Arial"/>
          <w:b/>
          <w:bCs/>
        </w:rPr>
        <w:t>.</w:t>
      </w:r>
    </w:p>
    <w:p w14:paraId="3F781A82" w14:textId="77777777" w:rsidR="00C228C4" w:rsidRPr="00F93890" w:rsidRDefault="00C228C4" w:rsidP="0046144D">
      <w:pPr>
        <w:jc w:val="both"/>
        <w:rPr>
          <w:rFonts w:ascii="Arial" w:hAnsi="Arial" w:cs="Arial"/>
        </w:rPr>
      </w:pPr>
      <w:r w:rsidRPr="00F93890">
        <w:rPr>
          <w:rFonts w:ascii="Arial" w:hAnsi="Arial" w:cs="Arial"/>
        </w:rPr>
        <w:t xml:space="preserve">Engineering accreditation of a degree programme is based on demonstrating that all graduating students achieve the specified threshold standard across all AHEP Learning Outcomes. Engineering Council and PEIs are therefore not concerned with the degree classification or marks awarded to students (as long as they have exceeded the pass threshold), or any adjustment that may need to be made to these to take account of changes to the delivery or assessment of the programme during the current COVID-19 outbreak. </w:t>
      </w:r>
    </w:p>
    <w:p w14:paraId="2985E1DE" w14:textId="7AF54B10" w:rsidR="00C228C4" w:rsidRPr="00F93890" w:rsidRDefault="00C228C4" w:rsidP="0046144D">
      <w:pPr>
        <w:jc w:val="both"/>
        <w:rPr>
          <w:rFonts w:ascii="Arial" w:hAnsi="Arial" w:cs="Arial"/>
        </w:rPr>
      </w:pPr>
      <w:r w:rsidRPr="00F93890">
        <w:rPr>
          <w:rFonts w:ascii="Arial" w:hAnsi="Arial" w:cs="Arial"/>
          <w:b/>
        </w:rPr>
        <w:lastRenderedPageBreak/>
        <w:t>The form below is intended to assist providers in submitting relevant information to the accrediting PEI(s). PEIs may request further information if needed.</w:t>
      </w:r>
      <w:r w:rsidRPr="00F93890">
        <w:rPr>
          <w:rFonts w:ascii="Arial" w:hAnsi="Arial" w:cs="Arial"/>
        </w:rPr>
        <w:t> </w:t>
      </w:r>
    </w:p>
    <w:p w14:paraId="1EE351E2" w14:textId="51B2F9D7" w:rsidR="00C228C4" w:rsidRPr="00F93890" w:rsidRDefault="00EB0F2E" w:rsidP="00C228C4">
      <w:pPr>
        <w:rPr>
          <w:rFonts w:ascii="Arial" w:hAnsi="Arial" w:cs="Arial"/>
          <w:b/>
          <w:sz w:val="24"/>
        </w:rPr>
      </w:pPr>
      <w:r>
        <w:rPr>
          <w:rFonts w:ascii="Arial" w:hAnsi="Arial" w:cs="Arial"/>
          <w:b/>
          <w:sz w:val="24"/>
        </w:rPr>
        <w:t xml:space="preserve">Engineering Council </w:t>
      </w:r>
      <w:r w:rsidR="00C228C4" w:rsidRPr="00F93890">
        <w:rPr>
          <w:rFonts w:ascii="Arial" w:hAnsi="Arial" w:cs="Arial"/>
          <w:b/>
          <w:sz w:val="24"/>
        </w:rPr>
        <w:t>Impact Report</w:t>
      </w:r>
      <w:r>
        <w:rPr>
          <w:rFonts w:ascii="Arial" w:hAnsi="Arial" w:cs="Arial"/>
          <w:b/>
          <w:sz w:val="24"/>
        </w:rPr>
        <w:t xml:space="preserve"> 2020-21</w:t>
      </w:r>
    </w:p>
    <w:tbl>
      <w:tblPr>
        <w:tblStyle w:val="TableGrid"/>
        <w:tblW w:w="10485" w:type="dxa"/>
        <w:tblLook w:val="04A0" w:firstRow="1" w:lastRow="0" w:firstColumn="1" w:lastColumn="0" w:noHBand="0" w:noVBand="1"/>
      </w:tblPr>
      <w:tblGrid>
        <w:gridCol w:w="10485"/>
      </w:tblGrid>
      <w:tr w:rsidR="00C228C4" w:rsidRPr="00F93890" w14:paraId="6F1E3AA5" w14:textId="77777777" w:rsidTr="0046144D">
        <w:tc>
          <w:tcPr>
            <w:tcW w:w="10485" w:type="dxa"/>
          </w:tcPr>
          <w:p w14:paraId="102ED140" w14:textId="1C004D99" w:rsidR="00C228C4" w:rsidRPr="0075502F" w:rsidRDefault="00C228C4" w:rsidP="0046144D">
            <w:pPr>
              <w:spacing w:before="120" w:after="120"/>
              <w:jc w:val="both"/>
              <w:rPr>
                <w:rFonts w:ascii="Arial" w:hAnsi="Arial" w:cs="Arial"/>
                <w:b/>
                <w:bCs/>
              </w:rPr>
            </w:pPr>
            <w:r w:rsidRPr="0075502F">
              <w:rPr>
                <w:rFonts w:ascii="Arial" w:hAnsi="Arial" w:cs="Arial"/>
                <w:b/>
                <w:bCs/>
              </w:rPr>
              <w:t>HEI and Department Name</w:t>
            </w:r>
          </w:p>
        </w:tc>
      </w:tr>
      <w:tr w:rsidR="0075502F" w:rsidRPr="00F93890" w14:paraId="7941295D" w14:textId="77777777" w:rsidTr="0046144D">
        <w:trPr>
          <w:trHeight w:val="567"/>
        </w:trPr>
        <w:tc>
          <w:tcPr>
            <w:tcW w:w="10485" w:type="dxa"/>
          </w:tcPr>
          <w:p w14:paraId="6C183F4C" w14:textId="481A95D9" w:rsidR="0075502F" w:rsidRPr="0075502F" w:rsidRDefault="0075502F" w:rsidP="0046144D">
            <w:pPr>
              <w:spacing w:before="120" w:after="120"/>
              <w:jc w:val="both"/>
              <w:rPr>
                <w:rFonts w:ascii="Arial" w:hAnsi="Arial" w:cs="Arial"/>
                <w:b/>
                <w:bCs/>
              </w:rPr>
            </w:pPr>
          </w:p>
        </w:tc>
      </w:tr>
    </w:tbl>
    <w:p w14:paraId="75BCC732" w14:textId="77777777" w:rsidR="00DE63FA" w:rsidRPr="00F93890" w:rsidRDefault="00DE63FA" w:rsidP="0046144D">
      <w:pPr>
        <w:spacing w:before="120" w:after="120" w:line="240" w:lineRule="auto"/>
        <w:jc w:val="both"/>
        <w:rPr>
          <w:rFonts w:ascii="Arial" w:hAnsi="Arial" w:cs="Arial"/>
          <w:color w:val="FF0000"/>
        </w:rPr>
      </w:pPr>
    </w:p>
    <w:tbl>
      <w:tblPr>
        <w:tblStyle w:val="TableGrid"/>
        <w:tblW w:w="10485" w:type="dxa"/>
        <w:tblBorders>
          <w:insideH w:val="none" w:sz="0" w:space="0" w:color="auto"/>
          <w:insideV w:val="none" w:sz="0" w:space="0" w:color="auto"/>
        </w:tblBorders>
        <w:tblLook w:val="04A0" w:firstRow="1" w:lastRow="0" w:firstColumn="1" w:lastColumn="0" w:noHBand="0" w:noVBand="1"/>
      </w:tblPr>
      <w:tblGrid>
        <w:gridCol w:w="10485"/>
      </w:tblGrid>
      <w:tr w:rsidR="00DE63FA" w:rsidRPr="00F93890" w14:paraId="3575BCB4" w14:textId="77777777" w:rsidTr="0046144D">
        <w:tc>
          <w:tcPr>
            <w:tcW w:w="10485" w:type="dxa"/>
            <w:tcBorders>
              <w:bottom w:val="single" w:sz="4" w:space="0" w:color="auto"/>
            </w:tcBorders>
          </w:tcPr>
          <w:p w14:paraId="443EBA16" w14:textId="3057F10C" w:rsidR="009B7EFE" w:rsidRPr="00861C22" w:rsidRDefault="0075502F" w:rsidP="0046144D">
            <w:pPr>
              <w:pStyle w:val="ListParagraph"/>
              <w:spacing w:before="120" w:after="120"/>
              <w:ind w:left="0"/>
              <w:jc w:val="both"/>
              <w:rPr>
                <w:rFonts w:ascii="Arial" w:hAnsi="Arial" w:cs="Arial"/>
              </w:rPr>
            </w:pPr>
            <w:r w:rsidRPr="0075502F">
              <w:rPr>
                <w:rFonts w:ascii="Arial" w:hAnsi="Arial" w:cs="Arial"/>
                <w:b/>
                <w:bCs/>
              </w:rPr>
              <w:t>Contact details (name, email, phone)</w:t>
            </w:r>
          </w:p>
        </w:tc>
      </w:tr>
      <w:tr w:rsidR="0075502F" w:rsidRPr="00F93890" w14:paraId="5D9E8E95" w14:textId="77777777" w:rsidTr="0046144D">
        <w:trPr>
          <w:trHeight w:val="567"/>
        </w:trPr>
        <w:tc>
          <w:tcPr>
            <w:tcW w:w="10485" w:type="dxa"/>
            <w:tcBorders>
              <w:top w:val="single" w:sz="4" w:space="0" w:color="auto"/>
              <w:bottom w:val="single" w:sz="4" w:space="0" w:color="auto"/>
            </w:tcBorders>
          </w:tcPr>
          <w:p w14:paraId="3261664E" w14:textId="77777777" w:rsidR="0075502F" w:rsidRPr="0075502F" w:rsidRDefault="0075502F" w:rsidP="0046144D">
            <w:pPr>
              <w:pStyle w:val="ListParagraph"/>
              <w:spacing w:before="120" w:after="120"/>
              <w:ind w:left="0"/>
              <w:jc w:val="both"/>
              <w:rPr>
                <w:rFonts w:ascii="Arial" w:hAnsi="Arial" w:cs="Arial"/>
                <w:b/>
                <w:bCs/>
              </w:rPr>
            </w:pPr>
          </w:p>
        </w:tc>
      </w:tr>
    </w:tbl>
    <w:p w14:paraId="00D50FA6" w14:textId="73AF3B38" w:rsidR="00DE63FA" w:rsidRDefault="00DE63FA" w:rsidP="00EE4093">
      <w:pPr>
        <w:spacing w:after="0" w:line="240" w:lineRule="auto"/>
        <w:rPr>
          <w:rFonts w:ascii="Arial" w:hAnsi="Arial" w:cs="Arial"/>
          <w:color w:val="FF0000"/>
        </w:rPr>
      </w:pPr>
    </w:p>
    <w:p w14:paraId="247FD2F3" w14:textId="77777777" w:rsidR="0046144D" w:rsidRPr="00F93890" w:rsidRDefault="0046144D" w:rsidP="00EE4093">
      <w:pPr>
        <w:spacing w:after="0" w:line="240" w:lineRule="auto"/>
        <w:rPr>
          <w:rFonts w:ascii="Arial" w:hAnsi="Arial" w:cs="Arial"/>
          <w:color w:val="FF0000"/>
        </w:rPr>
      </w:pPr>
    </w:p>
    <w:tbl>
      <w:tblPr>
        <w:tblStyle w:val="TableGrid"/>
        <w:tblW w:w="10485" w:type="dxa"/>
        <w:tblBorders>
          <w:insideH w:val="none" w:sz="0" w:space="0" w:color="auto"/>
          <w:insideV w:val="none" w:sz="0" w:space="0" w:color="auto"/>
        </w:tblBorders>
        <w:tblLook w:val="04A0" w:firstRow="1" w:lastRow="0" w:firstColumn="1" w:lastColumn="0" w:noHBand="0" w:noVBand="1"/>
      </w:tblPr>
      <w:tblGrid>
        <w:gridCol w:w="10485"/>
      </w:tblGrid>
      <w:tr w:rsidR="00DE63FA" w:rsidRPr="00F93890" w14:paraId="39CDCA44" w14:textId="77777777" w:rsidTr="0046144D">
        <w:tc>
          <w:tcPr>
            <w:tcW w:w="10485" w:type="dxa"/>
          </w:tcPr>
          <w:p w14:paraId="2E5CD114" w14:textId="05C0221E" w:rsidR="00DE63FA" w:rsidRPr="00F93890" w:rsidRDefault="006155DA" w:rsidP="0046144D">
            <w:pPr>
              <w:spacing w:before="120" w:after="120"/>
              <w:jc w:val="both"/>
              <w:rPr>
                <w:rFonts w:ascii="Arial" w:hAnsi="Arial" w:cs="Arial"/>
              </w:rPr>
            </w:pPr>
            <w:r>
              <w:rPr>
                <w:rFonts w:ascii="Arial" w:hAnsi="Arial" w:cs="Arial"/>
                <w:b/>
                <w:bCs/>
              </w:rPr>
              <w:t xml:space="preserve">Please list </w:t>
            </w:r>
            <w:r w:rsidR="00DE63FA" w:rsidRPr="00F93890">
              <w:rPr>
                <w:rFonts w:ascii="Arial" w:hAnsi="Arial" w:cs="Arial"/>
              </w:rPr>
              <w:t xml:space="preserve">each </w:t>
            </w:r>
            <w:r>
              <w:rPr>
                <w:rFonts w:ascii="Arial" w:hAnsi="Arial" w:cs="Arial"/>
              </w:rPr>
              <w:t xml:space="preserve">accredited </w:t>
            </w:r>
            <w:r w:rsidR="00DE63FA" w:rsidRPr="00F93890">
              <w:rPr>
                <w:rFonts w:ascii="Arial" w:hAnsi="Arial" w:cs="Arial"/>
              </w:rPr>
              <w:t xml:space="preserve">programme or group of related programmes </w:t>
            </w:r>
            <w:r w:rsidR="009B7EFE">
              <w:rPr>
                <w:rFonts w:ascii="Arial" w:hAnsi="Arial" w:cs="Arial"/>
              </w:rPr>
              <w:t>(</w:t>
            </w:r>
            <w:r w:rsidR="00DE63FA" w:rsidRPr="00F93890">
              <w:rPr>
                <w:rFonts w:ascii="Arial" w:hAnsi="Arial" w:cs="Arial"/>
              </w:rPr>
              <w:t>e.g. BEng, MEng, MSc</w:t>
            </w:r>
            <w:r w:rsidR="009B7EFE">
              <w:rPr>
                <w:rFonts w:ascii="Arial" w:hAnsi="Arial" w:cs="Arial"/>
              </w:rPr>
              <w:t>)</w:t>
            </w:r>
            <w:r w:rsidR="00A26B84">
              <w:rPr>
                <w:rFonts w:ascii="Arial" w:hAnsi="Arial" w:cs="Arial"/>
              </w:rPr>
              <w:t xml:space="preserve"> for which you are responsible</w:t>
            </w:r>
            <w:r w:rsidR="00DE63FA" w:rsidRPr="00F93890">
              <w:rPr>
                <w:rFonts w:ascii="Arial" w:hAnsi="Arial" w:cs="Arial"/>
              </w:rPr>
              <w:t>, where different programme adjustments may have been necessary for each group.</w:t>
            </w:r>
          </w:p>
        </w:tc>
      </w:tr>
    </w:tbl>
    <w:p w14:paraId="26D5544E" w14:textId="77777777" w:rsidR="00DE63FA" w:rsidRPr="00F93890" w:rsidRDefault="00DE63FA" w:rsidP="00EE4093">
      <w:pPr>
        <w:spacing w:after="0" w:line="240" w:lineRule="auto"/>
        <w:rPr>
          <w:rFonts w:ascii="Arial" w:hAnsi="Arial" w:cs="Arial"/>
          <w:color w:val="FF0000"/>
        </w:rPr>
      </w:pPr>
    </w:p>
    <w:tbl>
      <w:tblPr>
        <w:tblStyle w:val="TableGrid"/>
        <w:tblW w:w="10485" w:type="dxa"/>
        <w:tblBorders>
          <w:insideH w:val="none" w:sz="0" w:space="0" w:color="auto"/>
          <w:insideV w:val="none" w:sz="0" w:space="0" w:color="auto"/>
        </w:tblBorders>
        <w:tblLook w:val="04A0" w:firstRow="1" w:lastRow="0" w:firstColumn="1" w:lastColumn="0" w:noHBand="0" w:noVBand="1"/>
      </w:tblPr>
      <w:tblGrid>
        <w:gridCol w:w="10485"/>
      </w:tblGrid>
      <w:tr w:rsidR="00DE63FA" w:rsidRPr="00F93890" w14:paraId="70378934" w14:textId="77777777" w:rsidTr="0046144D">
        <w:tc>
          <w:tcPr>
            <w:tcW w:w="10485" w:type="dxa"/>
          </w:tcPr>
          <w:p w14:paraId="3C76D8F5" w14:textId="7BD2291F" w:rsidR="00164AF2" w:rsidRPr="00277357" w:rsidRDefault="00277357" w:rsidP="0046144D">
            <w:pPr>
              <w:pStyle w:val="ListParagraph"/>
              <w:spacing w:before="120" w:after="120"/>
              <w:ind w:left="0"/>
              <w:jc w:val="both"/>
              <w:rPr>
                <w:rFonts w:ascii="Arial" w:hAnsi="Arial" w:cs="Arial"/>
                <w:i/>
                <w:iCs/>
              </w:rPr>
            </w:pPr>
            <w:r w:rsidRPr="00277357">
              <w:rPr>
                <w:rFonts w:ascii="Arial" w:hAnsi="Arial" w:cs="Arial"/>
                <w:i/>
                <w:iCs/>
              </w:rPr>
              <w:t>(</w:t>
            </w:r>
            <w:r>
              <w:rPr>
                <w:rFonts w:ascii="Arial" w:hAnsi="Arial" w:cs="Arial"/>
                <w:i/>
                <w:iCs/>
              </w:rPr>
              <w:t>List of p</w:t>
            </w:r>
            <w:r w:rsidRPr="00277357">
              <w:rPr>
                <w:rFonts w:ascii="Arial" w:hAnsi="Arial" w:cs="Arial"/>
                <w:i/>
                <w:iCs/>
              </w:rPr>
              <w:t xml:space="preserve">rogramme </w:t>
            </w:r>
            <w:r>
              <w:rPr>
                <w:rFonts w:ascii="Arial" w:hAnsi="Arial" w:cs="Arial"/>
                <w:i/>
                <w:iCs/>
              </w:rPr>
              <w:t>groups</w:t>
            </w:r>
            <w:r w:rsidRPr="00277357">
              <w:rPr>
                <w:rFonts w:ascii="Arial" w:hAnsi="Arial" w:cs="Arial"/>
                <w:i/>
                <w:iCs/>
              </w:rPr>
              <w:t>)</w:t>
            </w:r>
          </w:p>
          <w:p w14:paraId="061876B2" w14:textId="77777777" w:rsidR="00911D9C" w:rsidRDefault="00911D9C" w:rsidP="0046144D">
            <w:pPr>
              <w:spacing w:before="120" w:after="120"/>
              <w:jc w:val="both"/>
              <w:rPr>
                <w:rFonts w:ascii="Arial" w:hAnsi="Arial" w:cs="Arial"/>
                <w:color w:val="FF0000"/>
              </w:rPr>
            </w:pPr>
          </w:p>
          <w:p w14:paraId="328581AA" w14:textId="77777777" w:rsidR="009B7EFE" w:rsidRDefault="009B7EFE" w:rsidP="0046144D">
            <w:pPr>
              <w:spacing w:before="120" w:after="120"/>
              <w:jc w:val="both"/>
              <w:rPr>
                <w:rFonts w:ascii="Arial" w:hAnsi="Arial" w:cs="Arial"/>
                <w:color w:val="FF0000"/>
              </w:rPr>
            </w:pPr>
          </w:p>
          <w:p w14:paraId="2DA363C7" w14:textId="738E3B4A" w:rsidR="009B7EFE" w:rsidRPr="009B7EFE" w:rsidRDefault="009B7EFE" w:rsidP="0046144D">
            <w:pPr>
              <w:spacing w:before="120" w:after="120"/>
              <w:jc w:val="both"/>
              <w:rPr>
                <w:rFonts w:ascii="Arial" w:hAnsi="Arial" w:cs="Arial"/>
                <w:color w:val="FF0000"/>
              </w:rPr>
            </w:pPr>
          </w:p>
        </w:tc>
      </w:tr>
    </w:tbl>
    <w:p w14:paraId="56ABE5A7" w14:textId="56CC74A4" w:rsidR="00DE63FA" w:rsidRDefault="00DE63FA" w:rsidP="00EE4093">
      <w:pPr>
        <w:spacing w:after="0" w:line="240" w:lineRule="auto"/>
        <w:rPr>
          <w:rFonts w:ascii="Arial" w:hAnsi="Arial" w:cs="Arial"/>
          <w:color w:val="FF0000"/>
        </w:rPr>
      </w:pPr>
    </w:p>
    <w:p w14:paraId="7CA3928A" w14:textId="77777777" w:rsidR="0046144D" w:rsidRPr="00F93890" w:rsidRDefault="0046144D" w:rsidP="00EE4093">
      <w:pPr>
        <w:spacing w:after="0" w:line="240" w:lineRule="auto"/>
        <w:rPr>
          <w:rFonts w:ascii="Arial" w:hAnsi="Arial" w:cs="Arial"/>
          <w:color w:val="FF0000"/>
        </w:rPr>
      </w:pPr>
    </w:p>
    <w:tbl>
      <w:tblPr>
        <w:tblStyle w:val="TableGrid"/>
        <w:tblW w:w="10485" w:type="dxa"/>
        <w:tblBorders>
          <w:insideH w:val="none" w:sz="0" w:space="0" w:color="auto"/>
          <w:insideV w:val="none" w:sz="0" w:space="0" w:color="auto"/>
        </w:tblBorders>
        <w:tblLook w:val="04A0" w:firstRow="1" w:lastRow="0" w:firstColumn="1" w:lastColumn="0" w:noHBand="0" w:noVBand="1"/>
      </w:tblPr>
      <w:tblGrid>
        <w:gridCol w:w="10485"/>
      </w:tblGrid>
      <w:tr w:rsidR="00DE63FA" w:rsidRPr="00F93890" w14:paraId="69B13CCC" w14:textId="77777777" w:rsidTr="0046144D">
        <w:tc>
          <w:tcPr>
            <w:tcW w:w="10485" w:type="dxa"/>
          </w:tcPr>
          <w:p w14:paraId="1B96225E" w14:textId="7B3B9191" w:rsidR="00DE63FA" w:rsidRPr="00376C23" w:rsidRDefault="00376C23" w:rsidP="0046144D">
            <w:pPr>
              <w:spacing w:before="120" w:after="120"/>
              <w:jc w:val="both"/>
              <w:rPr>
                <w:rFonts w:ascii="Arial" w:hAnsi="Arial" w:cs="Arial"/>
                <w:b/>
              </w:rPr>
            </w:pPr>
            <w:r w:rsidRPr="00376C23">
              <w:rPr>
                <w:rFonts w:ascii="Arial" w:hAnsi="Arial" w:cs="Arial"/>
                <w:b/>
              </w:rPr>
              <w:t>1.</w:t>
            </w:r>
            <w:r>
              <w:rPr>
                <w:rFonts w:ascii="Arial" w:hAnsi="Arial" w:cs="Arial"/>
                <w:b/>
              </w:rPr>
              <w:t xml:space="preserve"> Compensation and Condonement</w:t>
            </w:r>
          </w:p>
        </w:tc>
      </w:tr>
      <w:tr w:rsidR="00DE63FA" w:rsidRPr="00F93890" w14:paraId="0A01A0C4" w14:textId="77777777" w:rsidTr="0046144D">
        <w:tc>
          <w:tcPr>
            <w:tcW w:w="10485" w:type="dxa"/>
          </w:tcPr>
          <w:p w14:paraId="25D87CDF" w14:textId="7BACBB2B" w:rsidR="00DE63FA" w:rsidRDefault="00CE583F" w:rsidP="0046144D">
            <w:pPr>
              <w:spacing w:before="120" w:after="120"/>
              <w:jc w:val="both"/>
              <w:rPr>
                <w:rFonts w:ascii="Arial" w:hAnsi="Arial" w:cs="Arial"/>
              </w:rPr>
            </w:pPr>
            <w:r>
              <w:rPr>
                <w:rFonts w:ascii="Arial" w:hAnsi="Arial" w:cs="Arial"/>
              </w:rPr>
              <w:t xml:space="preserve">Were </w:t>
            </w:r>
            <w:r w:rsidR="008142EE">
              <w:rPr>
                <w:rFonts w:ascii="Arial" w:hAnsi="Arial" w:cs="Arial"/>
              </w:rPr>
              <w:t>compensation and condonement rules changed in any way from th</w:t>
            </w:r>
            <w:r w:rsidR="0054539F">
              <w:rPr>
                <w:rFonts w:ascii="Arial" w:hAnsi="Arial" w:cs="Arial"/>
              </w:rPr>
              <w:t>ose</w:t>
            </w:r>
            <w:r w:rsidR="008142EE">
              <w:rPr>
                <w:rFonts w:ascii="Arial" w:hAnsi="Arial" w:cs="Arial"/>
              </w:rPr>
              <w:t xml:space="preserve"> approved at the department’s last accreditation visit</w:t>
            </w:r>
            <w:r w:rsidR="0054539F">
              <w:rPr>
                <w:rFonts w:ascii="Arial" w:hAnsi="Arial" w:cs="Arial"/>
              </w:rPr>
              <w:t xml:space="preserve"> (e.g. due to application of a university ‘no detriment’ policy)</w:t>
            </w:r>
            <w:r>
              <w:rPr>
                <w:rFonts w:ascii="Arial" w:hAnsi="Arial" w:cs="Arial"/>
              </w:rPr>
              <w:t>?</w:t>
            </w:r>
            <w:r w:rsidR="008142EE">
              <w:rPr>
                <w:rFonts w:ascii="Arial" w:hAnsi="Arial" w:cs="Arial"/>
              </w:rPr>
              <w:t xml:space="preserve"> Note that this includes not allowing any projects to be compensated or condoned.</w:t>
            </w:r>
          </w:p>
          <w:p w14:paraId="7CDF8E12" w14:textId="77777777" w:rsidR="00277357" w:rsidRDefault="00277357" w:rsidP="0046144D">
            <w:pPr>
              <w:spacing w:before="120" w:after="120"/>
              <w:jc w:val="both"/>
              <w:rPr>
                <w:rFonts w:ascii="Arial" w:hAnsi="Arial" w:cs="Arial"/>
              </w:rPr>
            </w:pPr>
          </w:p>
          <w:p w14:paraId="3311EE75" w14:textId="3DA4A7B0" w:rsidR="004F7F26" w:rsidRDefault="00EB0F2E" w:rsidP="0046144D">
            <w:pPr>
              <w:spacing w:before="120" w:after="120"/>
              <w:jc w:val="both"/>
              <w:rPr>
                <w:rFonts w:ascii="Arial" w:hAnsi="Arial" w:cs="Arial"/>
              </w:rPr>
            </w:pPr>
            <w:r w:rsidRPr="00EB0F2E">
              <w:rPr>
                <w:rFonts w:ascii="Arial" w:hAnsi="Arial" w:cs="Arial"/>
                <w:b/>
                <w:bCs/>
                <w:bdr w:val="single" w:sz="4" w:space="0" w:color="auto"/>
              </w:rPr>
              <w:t>_</w:t>
            </w:r>
            <w:r>
              <w:rPr>
                <w:rFonts w:ascii="Arial" w:hAnsi="Arial" w:cs="Arial"/>
                <w:b/>
                <w:bCs/>
                <w:bdr w:val="single" w:sz="4" w:space="0" w:color="auto"/>
              </w:rPr>
              <w:t>_</w:t>
            </w:r>
            <w:r>
              <w:rPr>
                <w:rFonts w:ascii="Arial" w:hAnsi="Arial" w:cs="Arial"/>
                <w:b/>
                <w:bCs/>
              </w:rPr>
              <w:t xml:space="preserve"> Yes   </w:t>
            </w:r>
            <w:r w:rsidRPr="00EB0F2E">
              <w:rPr>
                <w:rFonts w:ascii="Arial" w:hAnsi="Arial" w:cs="Arial"/>
                <w:b/>
                <w:bCs/>
                <w:bdr w:val="single" w:sz="4" w:space="0" w:color="auto"/>
              </w:rPr>
              <w:t>_</w:t>
            </w:r>
            <w:r>
              <w:rPr>
                <w:rFonts w:ascii="Arial" w:hAnsi="Arial" w:cs="Arial"/>
                <w:b/>
                <w:bCs/>
                <w:bdr w:val="single" w:sz="4" w:space="0" w:color="auto"/>
              </w:rPr>
              <w:t>_</w:t>
            </w:r>
            <w:r>
              <w:rPr>
                <w:rFonts w:ascii="Arial" w:hAnsi="Arial" w:cs="Arial"/>
                <w:b/>
                <w:bCs/>
              </w:rPr>
              <w:t xml:space="preserve">  No </w:t>
            </w:r>
            <w:r>
              <w:rPr>
                <w:rFonts w:ascii="Arial" w:hAnsi="Arial" w:cs="Arial"/>
              </w:rPr>
              <w:t xml:space="preserve">(If response is </w:t>
            </w:r>
            <w:r w:rsidR="00E13107">
              <w:rPr>
                <w:rFonts w:ascii="Arial" w:hAnsi="Arial" w:cs="Arial"/>
              </w:rPr>
              <w:t>yes</w:t>
            </w:r>
            <w:r>
              <w:rPr>
                <w:rFonts w:ascii="Arial" w:hAnsi="Arial" w:cs="Arial"/>
              </w:rPr>
              <w:t xml:space="preserve">, please explain why Engineering Council Compensation and Condonement rules have not been </w:t>
            </w:r>
            <w:r w:rsidR="0054539F">
              <w:rPr>
                <w:rFonts w:ascii="Arial" w:hAnsi="Arial" w:cs="Arial"/>
              </w:rPr>
              <w:t xml:space="preserve">fully </w:t>
            </w:r>
            <w:r>
              <w:rPr>
                <w:rFonts w:ascii="Arial" w:hAnsi="Arial" w:cs="Arial"/>
              </w:rPr>
              <w:t>met in box below.</w:t>
            </w:r>
            <w:r w:rsidR="004F7F26">
              <w:rPr>
                <w:rFonts w:ascii="Arial" w:hAnsi="Arial" w:cs="Arial"/>
              </w:rPr>
              <w:t xml:space="preserve">) </w:t>
            </w:r>
          </w:p>
          <w:p w14:paraId="07C9C14A" w14:textId="77777777" w:rsidR="0046144D" w:rsidRDefault="0046144D" w:rsidP="0046144D">
            <w:pPr>
              <w:spacing w:before="120" w:after="120"/>
              <w:jc w:val="both"/>
              <w:rPr>
                <w:rFonts w:ascii="Arial" w:hAnsi="Arial" w:cs="Arial"/>
              </w:rPr>
            </w:pPr>
          </w:p>
          <w:p w14:paraId="4F765758" w14:textId="6208E0EA" w:rsidR="00521F6A" w:rsidRPr="0046144D" w:rsidRDefault="00FE3481" w:rsidP="0046144D">
            <w:pPr>
              <w:spacing w:before="120" w:after="120"/>
              <w:jc w:val="both"/>
              <w:rPr>
                <w:rFonts w:ascii="Arial" w:hAnsi="Arial" w:cs="Arial"/>
                <w:i/>
                <w:iCs/>
              </w:rPr>
            </w:pPr>
            <w:r w:rsidRPr="0046144D">
              <w:rPr>
                <w:rFonts w:ascii="Arial" w:hAnsi="Arial" w:cs="Arial"/>
                <w:b/>
                <w:bCs/>
                <w:i/>
                <w:iCs/>
              </w:rPr>
              <w:t>Notwithstanding any ‘no detriment’ policies applied</w:t>
            </w:r>
            <w:r w:rsidR="004F7F26" w:rsidRPr="0046144D">
              <w:rPr>
                <w:rFonts w:ascii="Arial" w:hAnsi="Arial" w:cs="Arial"/>
                <w:b/>
                <w:bCs/>
                <w:i/>
                <w:iCs/>
              </w:rPr>
              <w:t xml:space="preserve"> in 2019-20 and 2020-21, the Engineering Council will expect Compensation and Condonement rules to be met in full in 2021-22, and for the department to obtain a derogation from the University to ensure that the Compensation and Condonement arrangements agreed at the last accreditation visit are reinstated if required. This derogation should be agreed before the end of the 2020-21 academic year, to provide suitable notice to all </w:t>
            </w:r>
            <w:r w:rsidR="006A2C82" w:rsidRPr="0046144D">
              <w:rPr>
                <w:rFonts w:ascii="Arial" w:hAnsi="Arial" w:cs="Arial"/>
                <w:b/>
                <w:bCs/>
                <w:i/>
                <w:iCs/>
              </w:rPr>
              <w:t xml:space="preserve">affected </w:t>
            </w:r>
            <w:r w:rsidR="004F7F26" w:rsidRPr="0046144D">
              <w:rPr>
                <w:rFonts w:ascii="Arial" w:hAnsi="Arial" w:cs="Arial"/>
                <w:b/>
                <w:bCs/>
                <w:i/>
                <w:iCs/>
              </w:rPr>
              <w:t>students.</w:t>
            </w:r>
          </w:p>
        </w:tc>
      </w:tr>
    </w:tbl>
    <w:p w14:paraId="349BB69B" w14:textId="768A51F3" w:rsidR="0075502F" w:rsidRDefault="0075502F" w:rsidP="00E15794">
      <w:pPr>
        <w:spacing w:after="0" w:line="240" w:lineRule="auto"/>
      </w:pPr>
    </w:p>
    <w:tbl>
      <w:tblPr>
        <w:tblStyle w:val="TableGrid"/>
        <w:tblW w:w="10485" w:type="dxa"/>
        <w:tblLook w:val="04A0" w:firstRow="1" w:lastRow="0" w:firstColumn="1" w:lastColumn="0" w:noHBand="0" w:noVBand="1"/>
      </w:tblPr>
      <w:tblGrid>
        <w:gridCol w:w="10485"/>
      </w:tblGrid>
      <w:tr w:rsidR="0075502F" w14:paraId="34505843" w14:textId="77777777" w:rsidTr="0046144D">
        <w:trPr>
          <w:trHeight w:val="1134"/>
        </w:trPr>
        <w:tc>
          <w:tcPr>
            <w:tcW w:w="10485" w:type="dxa"/>
          </w:tcPr>
          <w:p w14:paraId="279FB0DA" w14:textId="77777777" w:rsidR="0075502F" w:rsidRDefault="0075502F" w:rsidP="0046144D">
            <w:pPr>
              <w:spacing w:before="120" w:after="120"/>
              <w:jc w:val="both"/>
            </w:pPr>
          </w:p>
        </w:tc>
      </w:tr>
    </w:tbl>
    <w:p w14:paraId="101E7357" w14:textId="7130CB61" w:rsidR="00521F6A" w:rsidRDefault="00521F6A"/>
    <w:p w14:paraId="0092ED53" w14:textId="77777777" w:rsidR="0046144D" w:rsidRDefault="0046144D">
      <w:r>
        <w:br w:type="page"/>
      </w:r>
    </w:p>
    <w:tbl>
      <w:tblPr>
        <w:tblStyle w:val="TableGrid"/>
        <w:tblW w:w="10485" w:type="dxa"/>
        <w:tblLook w:val="04A0" w:firstRow="1" w:lastRow="0" w:firstColumn="1" w:lastColumn="0" w:noHBand="0" w:noVBand="1"/>
      </w:tblPr>
      <w:tblGrid>
        <w:gridCol w:w="10485"/>
      </w:tblGrid>
      <w:tr w:rsidR="0075502F" w14:paraId="1AF72046" w14:textId="77777777" w:rsidTr="0046144D">
        <w:tc>
          <w:tcPr>
            <w:tcW w:w="10485" w:type="dxa"/>
          </w:tcPr>
          <w:p w14:paraId="35829008" w14:textId="2A39A59B" w:rsidR="00E15794" w:rsidRPr="00E15794" w:rsidRDefault="00E15794" w:rsidP="0046144D">
            <w:pPr>
              <w:spacing w:before="120" w:after="120"/>
              <w:jc w:val="both"/>
              <w:rPr>
                <w:rFonts w:asciiTheme="minorBidi" w:hAnsiTheme="minorBidi"/>
                <w:b/>
                <w:bCs/>
              </w:rPr>
            </w:pPr>
            <w:r w:rsidRPr="00E15794">
              <w:rPr>
                <w:rFonts w:asciiTheme="minorBidi" w:hAnsiTheme="minorBidi"/>
                <w:b/>
                <w:bCs/>
              </w:rPr>
              <w:lastRenderedPageBreak/>
              <w:t>2. Online Exam Arrangements</w:t>
            </w:r>
          </w:p>
          <w:p w14:paraId="44DE9979" w14:textId="73F4FCC3" w:rsidR="00E15794" w:rsidRDefault="00E15794" w:rsidP="0046144D">
            <w:pPr>
              <w:spacing w:before="120" w:after="120"/>
              <w:jc w:val="both"/>
              <w:rPr>
                <w:rFonts w:asciiTheme="minorBidi" w:hAnsiTheme="minorBidi"/>
              </w:rPr>
            </w:pPr>
            <w:r>
              <w:rPr>
                <w:rFonts w:asciiTheme="minorBidi" w:hAnsiTheme="minorBidi"/>
              </w:rPr>
              <w:t>Online exams of up to 4 hours conducted as traditional closed-book exams with additional time allowed only for downloading papers and uploading completed exam scripts are acceptable for accreditation purposes.</w:t>
            </w:r>
          </w:p>
          <w:p w14:paraId="2F3D2AE2" w14:textId="09E1C656" w:rsidR="0075502F" w:rsidRDefault="00E15794" w:rsidP="0046144D">
            <w:pPr>
              <w:spacing w:before="120" w:after="120"/>
              <w:jc w:val="both"/>
              <w:rPr>
                <w:rFonts w:ascii="Arial" w:hAnsi="Arial" w:cs="Arial"/>
                <w:b/>
                <w:bCs/>
                <w:bdr w:val="single" w:sz="4" w:space="0" w:color="auto"/>
              </w:rPr>
            </w:pPr>
            <w:r>
              <w:rPr>
                <w:rFonts w:asciiTheme="minorBidi" w:hAnsiTheme="minorBidi"/>
              </w:rPr>
              <w:t>If any traditional exams for accr</w:t>
            </w:r>
            <w:r w:rsidR="0075502F">
              <w:rPr>
                <w:rFonts w:asciiTheme="minorBidi" w:hAnsiTheme="minorBidi"/>
              </w:rPr>
              <w:t>edited programmes were replaced by extended online exams of 24 hours or more, were these conducted as open-book exams with examiners advised and exam papers drafted accordingly?</w:t>
            </w:r>
          </w:p>
          <w:p w14:paraId="180C1C6D" w14:textId="77777777" w:rsidR="0075502F" w:rsidRDefault="0075502F" w:rsidP="0046144D">
            <w:pPr>
              <w:spacing w:before="120" w:after="120"/>
              <w:jc w:val="both"/>
              <w:rPr>
                <w:rFonts w:ascii="Arial" w:hAnsi="Arial" w:cs="Arial"/>
                <w:b/>
                <w:bCs/>
                <w:bdr w:val="single" w:sz="4" w:space="0" w:color="auto"/>
              </w:rPr>
            </w:pPr>
          </w:p>
          <w:p w14:paraId="2C2177A1" w14:textId="290D07E7" w:rsidR="00E15794" w:rsidRPr="0046144D" w:rsidRDefault="0075502F" w:rsidP="0046144D">
            <w:pPr>
              <w:spacing w:before="120" w:after="120"/>
              <w:jc w:val="both"/>
              <w:rPr>
                <w:rFonts w:ascii="Arial" w:hAnsi="Arial" w:cs="Arial"/>
              </w:rPr>
            </w:pPr>
            <w:r w:rsidRPr="006155DA">
              <w:rPr>
                <w:rFonts w:ascii="Arial" w:hAnsi="Arial" w:cs="Arial"/>
                <w:b/>
                <w:bCs/>
                <w:bdr w:val="single" w:sz="4" w:space="0" w:color="auto"/>
              </w:rPr>
              <w:t>__</w:t>
            </w:r>
            <w:r w:rsidRPr="006155DA">
              <w:rPr>
                <w:rFonts w:ascii="Arial" w:hAnsi="Arial" w:cs="Arial"/>
                <w:b/>
                <w:bCs/>
              </w:rPr>
              <w:t xml:space="preserve"> Yes   </w:t>
            </w:r>
            <w:r w:rsidRPr="006155DA">
              <w:rPr>
                <w:rFonts w:ascii="Arial" w:hAnsi="Arial" w:cs="Arial"/>
                <w:b/>
                <w:bCs/>
                <w:bdr w:val="single" w:sz="4" w:space="0" w:color="auto"/>
              </w:rPr>
              <w:t>__</w:t>
            </w:r>
            <w:r w:rsidRPr="006155DA">
              <w:rPr>
                <w:rFonts w:ascii="Arial" w:hAnsi="Arial" w:cs="Arial"/>
                <w:b/>
                <w:bCs/>
              </w:rPr>
              <w:t xml:space="preserve">  No </w:t>
            </w:r>
            <w:r w:rsidRPr="006155DA">
              <w:rPr>
                <w:rFonts w:ascii="Arial" w:hAnsi="Arial" w:cs="Arial"/>
              </w:rPr>
              <w:t>(If response</w:t>
            </w:r>
            <w:r>
              <w:rPr>
                <w:rFonts w:ascii="Arial" w:hAnsi="Arial" w:cs="Arial"/>
              </w:rPr>
              <w:t xml:space="preserve"> </w:t>
            </w:r>
            <w:r w:rsidRPr="006155DA">
              <w:rPr>
                <w:rFonts w:ascii="Arial" w:hAnsi="Arial" w:cs="Arial"/>
              </w:rPr>
              <w:t xml:space="preserve">is no, please explain why the above online examination </w:t>
            </w:r>
            <w:r>
              <w:rPr>
                <w:rFonts w:ascii="Arial" w:hAnsi="Arial" w:cs="Arial"/>
              </w:rPr>
              <w:t>arrangements were not met in box below.)</w:t>
            </w:r>
          </w:p>
        </w:tc>
      </w:tr>
    </w:tbl>
    <w:p w14:paraId="77F74045" w14:textId="07FD83B7" w:rsidR="0075502F" w:rsidRDefault="0075502F" w:rsidP="0075502F">
      <w:pPr>
        <w:spacing w:after="0" w:line="240" w:lineRule="auto"/>
      </w:pPr>
    </w:p>
    <w:tbl>
      <w:tblPr>
        <w:tblStyle w:val="TableGrid"/>
        <w:tblW w:w="10485" w:type="dxa"/>
        <w:tblLook w:val="04A0" w:firstRow="1" w:lastRow="0" w:firstColumn="1" w:lastColumn="0" w:noHBand="0" w:noVBand="1"/>
      </w:tblPr>
      <w:tblGrid>
        <w:gridCol w:w="10485"/>
      </w:tblGrid>
      <w:tr w:rsidR="0075502F" w14:paraId="0DCDB0AA" w14:textId="77777777" w:rsidTr="0046144D">
        <w:trPr>
          <w:trHeight w:val="1134"/>
        </w:trPr>
        <w:tc>
          <w:tcPr>
            <w:tcW w:w="10485" w:type="dxa"/>
          </w:tcPr>
          <w:p w14:paraId="307B85ED" w14:textId="77777777" w:rsidR="0075502F" w:rsidRDefault="0075502F" w:rsidP="0046144D">
            <w:pPr>
              <w:spacing w:before="120" w:after="120"/>
              <w:jc w:val="both"/>
            </w:pPr>
          </w:p>
        </w:tc>
      </w:tr>
    </w:tbl>
    <w:p w14:paraId="23B2BE9A" w14:textId="41B845DB" w:rsidR="0075502F" w:rsidRDefault="0075502F" w:rsidP="00E15794">
      <w:pPr>
        <w:spacing w:after="0" w:line="240" w:lineRule="auto"/>
      </w:pPr>
    </w:p>
    <w:p w14:paraId="555CBAD3" w14:textId="77777777" w:rsidR="00E15794" w:rsidRDefault="00E15794" w:rsidP="00E15794">
      <w:pPr>
        <w:spacing w:after="0" w:line="240" w:lineRule="auto"/>
      </w:pPr>
    </w:p>
    <w:tbl>
      <w:tblPr>
        <w:tblStyle w:val="TableGrid"/>
        <w:tblW w:w="10480" w:type="dxa"/>
        <w:tblInd w:w="5" w:type="dxa"/>
        <w:tblBorders>
          <w:insideH w:val="none" w:sz="0" w:space="0" w:color="auto"/>
          <w:insideV w:val="none" w:sz="0" w:space="0" w:color="auto"/>
        </w:tblBorders>
        <w:tblLook w:val="04A0" w:firstRow="1" w:lastRow="0" w:firstColumn="1" w:lastColumn="0" w:noHBand="0" w:noVBand="1"/>
      </w:tblPr>
      <w:tblGrid>
        <w:gridCol w:w="10480"/>
      </w:tblGrid>
      <w:tr w:rsidR="00277357" w:rsidRPr="00F93890" w14:paraId="587914A8" w14:textId="77777777" w:rsidTr="0046144D">
        <w:tc>
          <w:tcPr>
            <w:tcW w:w="10480" w:type="dxa"/>
          </w:tcPr>
          <w:p w14:paraId="58B2A537" w14:textId="2EEE4269" w:rsidR="00277357" w:rsidRPr="00903262" w:rsidRDefault="00277357" w:rsidP="00E15794">
            <w:pPr>
              <w:spacing w:before="120" w:after="120"/>
              <w:jc w:val="both"/>
              <w:rPr>
                <w:rFonts w:ascii="Arial" w:hAnsi="Arial" w:cs="Arial"/>
                <w:b/>
              </w:rPr>
            </w:pPr>
            <w:r>
              <w:rPr>
                <w:rFonts w:ascii="Arial" w:hAnsi="Arial" w:cs="Arial"/>
                <w:b/>
              </w:rPr>
              <w:t>3</w:t>
            </w:r>
            <w:r w:rsidRPr="00903262">
              <w:rPr>
                <w:rFonts w:ascii="Arial" w:hAnsi="Arial" w:cs="Arial"/>
                <w:b/>
              </w:rPr>
              <w:t>.</w:t>
            </w:r>
            <w:r>
              <w:rPr>
                <w:rFonts w:ascii="Arial" w:hAnsi="Arial" w:cs="Arial"/>
                <w:b/>
              </w:rPr>
              <w:t xml:space="preserve"> Cancellation of exams</w:t>
            </w:r>
          </w:p>
        </w:tc>
      </w:tr>
      <w:tr w:rsidR="00277357" w:rsidRPr="00F93890" w14:paraId="459DF7BD" w14:textId="77777777" w:rsidTr="0046144D">
        <w:tc>
          <w:tcPr>
            <w:tcW w:w="10480" w:type="dxa"/>
          </w:tcPr>
          <w:p w14:paraId="381A5D87" w14:textId="158CD12C" w:rsidR="00277357" w:rsidRDefault="00CE583F" w:rsidP="00E15794">
            <w:pPr>
              <w:spacing w:before="120" w:after="120"/>
              <w:jc w:val="both"/>
              <w:rPr>
                <w:rFonts w:ascii="Arial" w:hAnsi="Arial" w:cs="Arial"/>
              </w:rPr>
            </w:pPr>
            <w:r>
              <w:rPr>
                <w:rFonts w:ascii="Arial" w:hAnsi="Arial" w:cs="Arial"/>
              </w:rPr>
              <w:t>Were any exams</w:t>
            </w:r>
            <w:r w:rsidR="008142EE">
              <w:rPr>
                <w:rFonts w:ascii="Arial" w:hAnsi="Arial" w:cs="Arial"/>
              </w:rPr>
              <w:t xml:space="preserve"> or other assessments</w:t>
            </w:r>
            <w:r w:rsidR="006155DA">
              <w:rPr>
                <w:rFonts w:ascii="Arial" w:hAnsi="Arial" w:cs="Arial"/>
              </w:rPr>
              <w:t xml:space="preserve"> for accredited programmes</w:t>
            </w:r>
            <w:r>
              <w:rPr>
                <w:rFonts w:ascii="Arial" w:hAnsi="Arial" w:cs="Arial"/>
              </w:rPr>
              <w:t xml:space="preserve"> cancelled and replaced by extrapolating </w:t>
            </w:r>
            <w:r w:rsidR="006155DA">
              <w:rPr>
                <w:rFonts w:ascii="Arial" w:hAnsi="Arial" w:cs="Arial"/>
              </w:rPr>
              <w:t>coursework marks to represent 100% of module assessment (where an exam</w:t>
            </w:r>
            <w:r w:rsidR="008142EE">
              <w:rPr>
                <w:rFonts w:ascii="Arial" w:hAnsi="Arial" w:cs="Arial"/>
              </w:rPr>
              <w:t>/other assessment</w:t>
            </w:r>
            <w:r w:rsidR="006155DA">
              <w:rPr>
                <w:rFonts w:ascii="Arial" w:hAnsi="Arial" w:cs="Arial"/>
              </w:rPr>
              <w:t xml:space="preserve"> would normally be sat)?</w:t>
            </w:r>
          </w:p>
          <w:p w14:paraId="2D248399" w14:textId="6CD94A30" w:rsidR="006155DA" w:rsidRDefault="006155DA" w:rsidP="00E15794">
            <w:pPr>
              <w:spacing w:before="120" w:after="120"/>
              <w:jc w:val="both"/>
              <w:rPr>
                <w:rFonts w:ascii="Arial" w:hAnsi="Arial" w:cs="Arial"/>
              </w:rPr>
            </w:pPr>
          </w:p>
          <w:p w14:paraId="6682DE7B" w14:textId="77634579" w:rsidR="00277357" w:rsidRPr="00F93890" w:rsidRDefault="006155DA" w:rsidP="00E15794">
            <w:pPr>
              <w:spacing w:before="120" w:after="120"/>
              <w:jc w:val="both"/>
              <w:rPr>
                <w:rFonts w:ascii="Arial" w:hAnsi="Arial" w:cs="Arial"/>
              </w:rPr>
            </w:pPr>
            <w:r w:rsidRPr="00EB0F2E">
              <w:rPr>
                <w:rFonts w:ascii="Arial" w:hAnsi="Arial" w:cs="Arial"/>
                <w:b/>
                <w:bCs/>
                <w:bdr w:val="single" w:sz="4" w:space="0" w:color="auto"/>
              </w:rPr>
              <w:t>_</w:t>
            </w:r>
            <w:r>
              <w:rPr>
                <w:rFonts w:ascii="Arial" w:hAnsi="Arial" w:cs="Arial"/>
                <w:b/>
                <w:bCs/>
                <w:bdr w:val="single" w:sz="4" w:space="0" w:color="auto"/>
              </w:rPr>
              <w:t>_</w:t>
            </w:r>
            <w:r>
              <w:rPr>
                <w:rFonts w:ascii="Arial" w:hAnsi="Arial" w:cs="Arial"/>
                <w:b/>
                <w:bCs/>
              </w:rPr>
              <w:t xml:space="preserve"> Yes   </w:t>
            </w:r>
            <w:r w:rsidRPr="00EB0F2E">
              <w:rPr>
                <w:rFonts w:ascii="Arial" w:hAnsi="Arial" w:cs="Arial"/>
                <w:b/>
                <w:bCs/>
                <w:bdr w:val="single" w:sz="4" w:space="0" w:color="auto"/>
              </w:rPr>
              <w:t>_</w:t>
            </w:r>
            <w:r>
              <w:rPr>
                <w:rFonts w:ascii="Arial" w:hAnsi="Arial" w:cs="Arial"/>
                <w:b/>
                <w:bCs/>
                <w:bdr w:val="single" w:sz="4" w:space="0" w:color="auto"/>
              </w:rPr>
              <w:t>_</w:t>
            </w:r>
            <w:r>
              <w:rPr>
                <w:rFonts w:ascii="Arial" w:hAnsi="Arial" w:cs="Arial"/>
                <w:b/>
                <w:bCs/>
              </w:rPr>
              <w:t xml:space="preserve">  No </w:t>
            </w:r>
            <w:r>
              <w:rPr>
                <w:rFonts w:ascii="Arial" w:hAnsi="Arial" w:cs="Arial"/>
              </w:rPr>
              <w:t xml:space="preserve">(If response is </w:t>
            </w:r>
            <w:r w:rsidR="00E13107">
              <w:rPr>
                <w:rFonts w:ascii="Arial" w:hAnsi="Arial" w:cs="Arial"/>
              </w:rPr>
              <w:t>yes</w:t>
            </w:r>
            <w:r>
              <w:rPr>
                <w:rFonts w:ascii="Arial" w:hAnsi="Arial" w:cs="Arial"/>
              </w:rPr>
              <w:t>, please explain why the exams were cancelled in box below.)</w:t>
            </w:r>
          </w:p>
        </w:tc>
      </w:tr>
    </w:tbl>
    <w:p w14:paraId="5835EC71" w14:textId="77777777" w:rsidR="00277357" w:rsidRPr="00E15794" w:rsidRDefault="00277357" w:rsidP="00E15794">
      <w:pPr>
        <w:spacing w:after="0" w:line="240" w:lineRule="auto"/>
      </w:pPr>
    </w:p>
    <w:tbl>
      <w:tblPr>
        <w:tblStyle w:val="TableGrid"/>
        <w:tblW w:w="10485" w:type="dxa"/>
        <w:tblBorders>
          <w:insideH w:val="none" w:sz="0" w:space="0" w:color="auto"/>
          <w:insideV w:val="none" w:sz="0" w:space="0" w:color="auto"/>
        </w:tblBorders>
        <w:tblLook w:val="04A0" w:firstRow="1" w:lastRow="0" w:firstColumn="1" w:lastColumn="0" w:noHBand="0" w:noVBand="1"/>
      </w:tblPr>
      <w:tblGrid>
        <w:gridCol w:w="10485"/>
      </w:tblGrid>
      <w:tr w:rsidR="00277357" w:rsidRPr="00F93890" w14:paraId="54436E7B" w14:textId="77777777" w:rsidTr="0046144D">
        <w:trPr>
          <w:trHeight w:val="1134"/>
        </w:trPr>
        <w:tc>
          <w:tcPr>
            <w:tcW w:w="10485" w:type="dxa"/>
          </w:tcPr>
          <w:p w14:paraId="0AB81D29" w14:textId="35B2F77F" w:rsidR="00521F6A" w:rsidRPr="00E15794" w:rsidRDefault="00521F6A" w:rsidP="0046144D">
            <w:pPr>
              <w:spacing w:before="120" w:after="120"/>
              <w:jc w:val="both"/>
            </w:pPr>
          </w:p>
        </w:tc>
      </w:tr>
    </w:tbl>
    <w:p w14:paraId="0376073D" w14:textId="7499ED97" w:rsidR="00DE63FA" w:rsidRDefault="00DE63FA" w:rsidP="00E15794">
      <w:pPr>
        <w:spacing w:after="0" w:line="240" w:lineRule="auto"/>
      </w:pPr>
    </w:p>
    <w:p w14:paraId="503CA5FA" w14:textId="77777777" w:rsidR="00E15794" w:rsidRPr="00E15794" w:rsidRDefault="00E15794" w:rsidP="00E15794">
      <w:pPr>
        <w:spacing w:after="0" w:line="240" w:lineRule="auto"/>
      </w:pPr>
    </w:p>
    <w:tbl>
      <w:tblPr>
        <w:tblStyle w:val="TableGrid"/>
        <w:tblW w:w="10485" w:type="dxa"/>
        <w:tblBorders>
          <w:insideH w:val="none" w:sz="0" w:space="0" w:color="auto"/>
          <w:insideV w:val="none" w:sz="0" w:space="0" w:color="auto"/>
        </w:tblBorders>
        <w:tblLook w:val="04A0" w:firstRow="1" w:lastRow="0" w:firstColumn="1" w:lastColumn="0" w:noHBand="0" w:noVBand="1"/>
      </w:tblPr>
      <w:tblGrid>
        <w:gridCol w:w="10485"/>
      </w:tblGrid>
      <w:tr w:rsidR="00DE63FA" w:rsidRPr="00F93890" w14:paraId="623324D1" w14:textId="77777777" w:rsidTr="0046144D">
        <w:tc>
          <w:tcPr>
            <w:tcW w:w="10485" w:type="dxa"/>
          </w:tcPr>
          <w:p w14:paraId="542335CF" w14:textId="30CD38BD" w:rsidR="00DE63FA" w:rsidRDefault="00277357" w:rsidP="00E15794">
            <w:pPr>
              <w:spacing w:before="120" w:after="120"/>
              <w:jc w:val="both"/>
              <w:rPr>
                <w:rFonts w:ascii="Arial" w:hAnsi="Arial" w:cs="Arial"/>
              </w:rPr>
            </w:pPr>
            <w:r>
              <w:rPr>
                <w:rFonts w:ascii="Arial" w:hAnsi="Arial" w:cs="Arial"/>
                <w:b/>
              </w:rPr>
              <w:t>4</w:t>
            </w:r>
            <w:r w:rsidRPr="00903262">
              <w:rPr>
                <w:rFonts w:ascii="Arial" w:hAnsi="Arial" w:cs="Arial"/>
                <w:b/>
              </w:rPr>
              <w:t>.</w:t>
            </w:r>
            <w:r>
              <w:rPr>
                <w:rFonts w:ascii="Arial" w:hAnsi="Arial" w:cs="Arial"/>
                <w:b/>
              </w:rPr>
              <w:t xml:space="preserve"> Academic misconduct</w:t>
            </w:r>
          </w:p>
          <w:p w14:paraId="4A840D30" w14:textId="61424009" w:rsidR="00521F6A" w:rsidRDefault="00521F6A" w:rsidP="00E15794">
            <w:pPr>
              <w:spacing w:before="120" w:after="120"/>
              <w:jc w:val="both"/>
              <w:rPr>
                <w:rFonts w:ascii="Arial" w:hAnsi="Arial" w:cs="Arial"/>
              </w:rPr>
            </w:pPr>
            <w:r>
              <w:rPr>
                <w:rFonts w:ascii="Arial" w:hAnsi="Arial" w:cs="Arial"/>
              </w:rPr>
              <w:t xml:space="preserve">Were </w:t>
            </w:r>
            <w:r w:rsidR="008142EE">
              <w:rPr>
                <w:rFonts w:ascii="Arial" w:hAnsi="Arial" w:cs="Arial"/>
              </w:rPr>
              <w:t>robust</w:t>
            </w:r>
            <w:r>
              <w:rPr>
                <w:rFonts w:ascii="Arial" w:hAnsi="Arial" w:cs="Arial"/>
              </w:rPr>
              <w:t xml:space="preserve"> checks </w:t>
            </w:r>
            <w:r w:rsidR="00E13107">
              <w:rPr>
                <w:rFonts w:ascii="Arial" w:hAnsi="Arial" w:cs="Arial"/>
              </w:rPr>
              <w:t>for</w:t>
            </w:r>
            <w:r>
              <w:rPr>
                <w:rFonts w:ascii="Arial" w:hAnsi="Arial" w:cs="Arial"/>
              </w:rPr>
              <w:t xml:space="preserve"> plagiarism, collusion, impersonation or other forms of academic misconduct </w:t>
            </w:r>
            <w:r w:rsidR="008142EE">
              <w:rPr>
                <w:rFonts w:ascii="Arial" w:hAnsi="Arial" w:cs="Arial"/>
              </w:rPr>
              <w:t>applied</w:t>
            </w:r>
            <w:r>
              <w:rPr>
                <w:rFonts w:ascii="Arial" w:hAnsi="Arial" w:cs="Arial"/>
              </w:rPr>
              <w:t xml:space="preserve"> to prevent and detect cheating in coursework and</w:t>
            </w:r>
            <w:r w:rsidR="00E13107">
              <w:rPr>
                <w:rFonts w:ascii="Arial" w:hAnsi="Arial" w:cs="Arial"/>
              </w:rPr>
              <w:t>/</w:t>
            </w:r>
            <w:r>
              <w:rPr>
                <w:rFonts w:ascii="Arial" w:hAnsi="Arial" w:cs="Arial"/>
              </w:rPr>
              <w:t>or exams submitted online for accredited programmes?</w:t>
            </w:r>
          </w:p>
          <w:p w14:paraId="21C2AAD6" w14:textId="77777777" w:rsidR="00E15794" w:rsidRDefault="00E15794" w:rsidP="00E15794">
            <w:pPr>
              <w:spacing w:before="120" w:after="120"/>
              <w:jc w:val="both"/>
              <w:rPr>
                <w:rFonts w:ascii="Arial" w:hAnsi="Arial" w:cs="Arial"/>
              </w:rPr>
            </w:pPr>
          </w:p>
          <w:p w14:paraId="091ABF8C" w14:textId="366D28E5" w:rsidR="00E13107" w:rsidRPr="00F93890" w:rsidRDefault="00521F6A" w:rsidP="0046144D">
            <w:pPr>
              <w:spacing w:before="120" w:after="120"/>
              <w:jc w:val="both"/>
              <w:rPr>
                <w:rFonts w:ascii="Arial" w:hAnsi="Arial" w:cs="Arial"/>
              </w:rPr>
            </w:pPr>
            <w:r w:rsidRPr="00EB0F2E">
              <w:rPr>
                <w:rFonts w:ascii="Arial" w:hAnsi="Arial" w:cs="Arial"/>
                <w:b/>
                <w:bCs/>
                <w:bdr w:val="single" w:sz="4" w:space="0" w:color="auto"/>
              </w:rPr>
              <w:t>_</w:t>
            </w:r>
            <w:r>
              <w:rPr>
                <w:rFonts w:ascii="Arial" w:hAnsi="Arial" w:cs="Arial"/>
                <w:b/>
                <w:bCs/>
                <w:bdr w:val="single" w:sz="4" w:space="0" w:color="auto"/>
              </w:rPr>
              <w:t>_</w:t>
            </w:r>
            <w:r>
              <w:rPr>
                <w:rFonts w:ascii="Arial" w:hAnsi="Arial" w:cs="Arial"/>
                <w:b/>
                <w:bCs/>
              </w:rPr>
              <w:t xml:space="preserve"> Yes   </w:t>
            </w:r>
            <w:r w:rsidRPr="00EB0F2E">
              <w:rPr>
                <w:rFonts w:ascii="Arial" w:hAnsi="Arial" w:cs="Arial"/>
                <w:b/>
                <w:bCs/>
                <w:bdr w:val="single" w:sz="4" w:space="0" w:color="auto"/>
              </w:rPr>
              <w:t>_</w:t>
            </w:r>
            <w:r>
              <w:rPr>
                <w:rFonts w:ascii="Arial" w:hAnsi="Arial" w:cs="Arial"/>
                <w:b/>
                <w:bCs/>
                <w:bdr w:val="single" w:sz="4" w:space="0" w:color="auto"/>
              </w:rPr>
              <w:t>_</w:t>
            </w:r>
            <w:r>
              <w:rPr>
                <w:rFonts w:ascii="Arial" w:hAnsi="Arial" w:cs="Arial"/>
                <w:b/>
                <w:bCs/>
              </w:rPr>
              <w:t xml:space="preserve">  No </w:t>
            </w:r>
            <w:r>
              <w:rPr>
                <w:rFonts w:ascii="Arial" w:hAnsi="Arial" w:cs="Arial"/>
              </w:rPr>
              <w:t xml:space="preserve">(If response is no, please explain why the above checks on cheating were not </w:t>
            </w:r>
            <w:r w:rsidR="00E13107">
              <w:rPr>
                <w:rFonts w:ascii="Arial" w:hAnsi="Arial" w:cs="Arial"/>
              </w:rPr>
              <w:t>instituted</w:t>
            </w:r>
            <w:r>
              <w:rPr>
                <w:rFonts w:ascii="Arial" w:hAnsi="Arial" w:cs="Arial"/>
              </w:rPr>
              <w:t xml:space="preserve"> in box below.)</w:t>
            </w:r>
          </w:p>
        </w:tc>
      </w:tr>
    </w:tbl>
    <w:p w14:paraId="5F18404A" w14:textId="77777777" w:rsidR="00C228C4" w:rsidRPr="00E15794" w:rsidRDefault="00C228C4" w:rsidP="00E15794">
      <w:pPr>
        <w:spacing w:after="0" w:line="240" w:lineRule="auto"/>
      </w:pPr>
    </w:p>
    <w:tbl>
      <w:tblPr>
        <w:tblStyle w:val="TableGrid"/>
        <w:tblW w:w="10485" w:type="dxa"/>
        <w:tblBorders>
          <w:insideH w:val="none" w:sz="0" w:space="0" w:color="auto"/>
          <w:insideV w:val="none" w:sz="0" w:space="0" w:color="auto"/>
        </w:tblBorders>
        <w:tblLook w:val="04A0" w:firstRow="1" w:lastRow="0" w:firstColumn="1" w:lastColumn="0" w:noHBand="0" w:noVBand="1"/>
      </w:tblPr>
      <w:tblGrid>
        <w:gridCol w:w="10485"/>
      </w:tblGrid>
      <w:tr w:rsidR="00DE63FA" w:rsidRPr="00F93890" w14:paraId="521B3700" w14:textId="77777777" w:rsidTr="0046144D">
        <w:trPr>
          <w:trHeight w:val="1134"/>
        </w:trPr>
        <w:tc>
          <w:tcPr>
            <w:tcW w:w="10485" w:type="dxa"/>
          </w:tcPr>
          <w:p w14:paraId="406732F8" w14:textId="45217D35" w:rsidR="00DE63FA" w:rsidRPr="0046144D" w:rsidRDefault="00DE63FA" w:rsidP="0046144D">
            <w:pPr>
              <w:spacing w:before="120" w:after="120"/>
              <w:jc w:val="both"/>
            </w:pPr>
          </w:p>
        </w:tc>
      </w:tr>
    </w:tbl>
    <w:p w14:paraId="52985299" w14:textId="1732E5C8" w:rsidR="00DE63FA" w:rsidRDefault="00DE63FA" w:rsidP="00E15794">
      <w:pPr>
        <w:spacing w:after="0" w:line="240" w:lineRule="auto"/>
      </w:pPr>
    </w:p>
    <w:p w14:paraId="16A5E048" w14:textId="77777777" w:rsidR="00E15794" w:rsidRPr="00E15794" w:rsidRDefault="00E15794" w:rsidP="00E15794">
      <w:pPr>
        <w:spacing w:after="0" w:line="240" w:lineRule="auto"/>
      </w:pPr>
    </w:p>
    <w:p w14:paraId="6DF31C7A" w14:textId="77777777" w:rsidR="0046144D" w:rsidRDefault="0046144D">
      <w:r>
        <w:br w:type="page"/>
      </w:r>
    </w:p>
    <w:tbl>
      <w:tblPr>
        <w:tblStyle w:val="TableGrid"/>
        <w:tblW w:w="10485" w:type="dxa"/>
        <w:tblBorders>
          <w:insideH w:val="none" w:sz="0" w:space="0" w:color="auto"/>
          <w:insideV w:val="none" w:sz="0" w:space="0" w:color="auto"/>
        </w:tblBorders>
        <w:tblLook w:val="04A0" w:firstRow="1" w:lastRow="0" w:firstColumn="1" w:lastColumn="0" w:noHBand="0" w:noVBand="1"/>
      </w:tblPr>
      <w:tblGrid>
        <w:gridCol w:w="10485"/>
      </w:tblGrid>
      <w:tr w:rsidR="00DE63FA" w:rsidRPr="00F93890" w14:paraId="04514A75" w14:textId="77777777" w:rsidTr="0046144D">
        <w:tc>
          <w:tcPr>
            <w:tcW w:w="10485" w:type="dxa"/>
          </w:tcPr>
          <w:p w14:paraId="06BDACA6" w14:textId="1FA73D9B" w:rsidR="00DE63FA" w:rsidRDefault="00277357" w:rsidP="00E15794">
            <w:pPr>
              <w:spacing w:before="120" w:after="120"/>
              <w:jc w:val="both"/>
              <w:rPr>
                <w:rFonts w:ascii="Arial" w:hAnsi="Arial" w:cs="Arial"/>
              </w:rPr>
            </w:pPr>
            <w:r>
              <w:rPr>
                <w:rFonts w:ascii="Arial" w:hAnsi="Arial" w:cs="Arial"/>
                <w:b/>
              </w:rPr>
              <w:lastRenderedPageBreak/>
              <w:t>5. Substantive changes to programme structure, delivery and/or assessment</w:t>
            </w:r>
          </w:p>
          <w:p w14:paraId="55133F52" w14:textId="78647290" w:rsidR="00903262" w:rsidRDefault="00521F6A" w:rsidP="00E15794">
            <w:pPr>
              <w:spacing w:before="120" w:after="120"/>
              <w:jc w:val="both"/>
              <w:rPr>
                <w:rFonts w:ascii="Arial" w:hAnsi="Arial" w:cs="Arial"/>
              </w:rPr>
            </w:pPr>
            <w:r>
              <w:rPr>
                <w:rFonts w:ascii="Arial" w:hAnsi="Arial" w:cs="Arial"/>
              </w:rPr>
              <w:t>Were any substantive changes to accredited programme structures, programme delivery or programme assessment introduced in 2020-21 compared with previous years</w:t>
            </w:r>
            <w:r w:rsidR="008142EE">
              <w:rPr>
                <w:rFonts w:ascii="Arial" w:hAnsi="Arial" w:cs="Arial"/>
              </w:rPr>
              <w:t xml:space="preserve"> (which may affect achievement of AHEP Learning Outcomes or infringe the 70% commonality rule)</w:t>
            </w:r>
            <w:r>
              <w:rPr>
                <w:rFonts w:ascii="Arial" w:hAnsi="Arial" w:cs="Arial"/>
              </w:rPr>
              <w:t>?</w:t>
            </w:r>
          </w:p>
          <w:p w14:paraId="31C77846" w14:textId="77777777" w:rsidR="00521F6A" w:rsidRDefault="00521F6A" w:rsidP="00E15794">
            <w:pPr>
              <w:spacing w:before="120" w:after="120"/>
              <w:jc w:val="both"/>
              <w:rPr>
                <w:rFonts w:ascii="Arial" w:hAnsi="Arial" w:cs="Arial"/>
              </w:rPr>
            </w:pPr>
          </w:p>
          <w:p w14:paraId="42CE6DA6" w14:textId="14C6AF70" w:rsidR="00E13107" w:rsidRPr="004471F8" w:rsidRDefault="00521F6A" w:rsidP="0046144D">
            <w:pPr>
              <w:spacing w:before="120" w:after="120"/>
              <w:jc w:val="both"/>
              <w:rPr>
                <w:rFonts w:ascii="Arial" w:hAnsi="Arial" w:cs="Arial"/>
              </w:rPr>
            </w:pPr>
            <w:r w:rsidRPr="00EB0F2E">
              <w:rPr>
                <w:rFonts w:ascii="Arial" w:hAnsi="Arial" w:cs="Arial"/>
                <w:b/>
                <w:bCs/>
                <w:bdr w:val="single" w:sz="4" w:space="0" w:color="auto"/>
              </w:rPr>
              <w:t>_</w:t>
            </w:r>
            <w:r>
              <w:rPr>
                <w:rFonts w:ascii="Arial" w:hAnsi="Arial" w:cs="Arial"/>
                <w:b/>
                <w:bCs/>
                <w:bdr w:val="single" w:sz="4" w:space="0" w:color="auto"/>
              </w:rPr>
              <w:t>_</w:t>
            </w:r>
            <w:r>
              <w:rPr>
                <w:rFonts w:ascii="Arial" w:hAnsi="Arial" w:cs="Arial"/>
                <w:b/>
                <w:bCs/>
              </w:rPr>
              <w:t xml:space="preserve"> Yes   </w:t>
            </w:r>
            <w:r w:rsidRPr="00EB0F2E">
              <w:rPr>
                <w:rFonts w:ascii="Arial" w:hAnsi="Arial" w:cs="Arial"/>
                <w:b/>
                <w:bCs/>
                <w:bdr w:val="single" w:sz="4" w:space="0" w:color="auto"/>
              </w:rPr>
              <w:t>_</w:t>
            </w:r>
            <w:r>
              <w:rPr>
                <w:rFonts w:ascii="Arial" w:hAnsi="Arial" w:cs="Arial"/>
                <w:b/>
                <w:bCs/>
                <w:bdr w:val="single" w:sz="4" w:space="0" w:color="auto"/>
              </w:rPr>
              <w:t>_</w:t>
            </w:r>
            <w:r>
              <w:rPr>
                <w:rFonts w:ascii="Arial" w:hAnsi="Arial" w:cs="Arial"/>
                <w:b/>
                <w:bCs/>
              </w:rPr>
              <w:t xml:space="preserve">  No </w:t>
            </w:r>
            <w:r>
              <w:rPr>
                <w:rFonts w:ascii="Arial" w:hAnsi="Arial" w:cs="Arial"/>
              </w:rPr>
              <w:t xml:space="preserve">(If response is yes, please </w:t>
            </w:r>
            <w:r w:rsidR="00EC1FC5">
              <w:rPr>
                <w:rFonts w:ascii="Arial" w:hAnsi="Arial" w:cs="Arial"/>
              </w:rPr>
              <w:t>summarise</w:t>
            </w:r>
            <w:r>
              <w:rPr>
                <w:rFonts w:ascii="Arial" w:hAnsi="Arial" w:cs="Arial"/>
              </w:rPr>
              <w:t xml:space="preserve"> the nature of the changes in the box below.)</w:t>
            </w:r>
          </w:p>
        </w:tc>
      </w:tr>
    </w:tbl>
    <w:p w14:paraId="3DA2131E" w14:textId="2CF84301" w:rsidR="00DE63FA" w:rsidRPr="00E15794" w:rsidRDefault="00DE63FA" w:rsidP="00E15794">
      <w:pPr>
        <w:spacing w:after="0" w:line="240" w:lineRule="auto"/>
      </w:pPr>
    </w:p>
    <w:tbl>
      <w:tblPr>
        <w:tblStyle w:val="TableGrid"/>
        <w:tblW w:w="10485" w:type="dxa"/>
        <w:tblLook w:val="04A0" w:firstRow="1" w:lastRow="0" w:firstColumn="1" w:lastColumn="0" w:noHBand="0" w:noVBand="1"/>
      </w:tblPr>
      <w:tblGrid>
        <w:gridCol w:w="10485"/>
      </w:tblGrid>
      <w:tr w:rsidR="00E15794" w14:paraId="4BAB4ED2" w14:textId="77777777" w:rsidTr="0046144D">
        <w:trPr>
          <w:trHeight w:val="1134"/>
        </w:trPr>
        <w:tc>
          <w:tcPr>
            <w:tcW w:w="10485" w:type="dxa"/>
          </w:tcPr>
          <w:p w14:paraId="0158EDE6" w14:textId="77777777" w:rsidR="00E15794" w:rsidRPr="0046144D" w:rsidRDefault="00E15794" w:rsidP="0046144D">
            <w:pPr>
              <w:spacing w:before="120" w:after="120"/>
              <w:jc w:val="both"/>
            </w:pPr>
          </w:p>
        </w:tc>
      </w:tr>
    </w:tbl>
    <w:p w14:paraId="4B2F4871" w14:textId="32D3DD67" w:rsidR="00E15794" w:rsidRDefault="00E15794" w:rsidP="00E15794">
      <w:pPr>
        <w:spacing w:after="0" w:line="240" w:lineRule="auto"/>
        <w:rPr>
          <w:rFonts w:ascii="Arial" w:hAnsi="Arial" w:cs="Arial"/>
        </w:rPr>
      </w:pPr>
    </w:p>
    <w:p w14:paraId="04E19149" w14:textId="5C8F6154" w:rsidR="00E15794" w:rsidRDefault="00E15794" w:rsidP="00E15794">
      <w:pPr>
        <w:spacing w:after="0" w:line="240" w:lineRule="auto"/>
        <w:rPr>
          <w:rFonts w:ascii="Arial" w:hAnsi="Arial" w:cs="Arial"/>
        </w:rPr>
      </w:pPr>
    </w:p>
    <w:tbl>
      <w:tblPr>
        <w:tblStyle w:val="TableGrid"/>
        <w:tblW w:w="10485" w:type="dxa"/>
        <w:tblLook w:val="04A0" w:firstRow="1" w:lastRow="0" w:firstColumn="1" w:lastColumn="0" w:noHBand="0" w:noVBand="1"/>
      </w:tblPr>
      <w:tblGrid>
        <w:gridCol w:w="10485"/>
      </w:tblGrid>
      <w:tr w:rsidR="00E15794" w14:paraId="59468CB9" w14:textId="77777777" w:rsidTr="008142EE">
        <w:trPr>
          <w:trHeight w:val="2847"/>
        </w:trPr>
        <w:tc>
          <w:tcPr>
            <w:tcW w:w="10485" w:type="dxa"/>
          </w:tcPr>
          <w:p w14:paraId="794C5EF2" w14:textId="612348C3" w:rsidR="00E15794" w:rsidRDefault="00E15794" w:rsidP="00E15794">
            <w:pPr>
              <w:spacing w:before="120" w:after="120"/>
              <w:jc w:val="both"/>
              <w:rPr>
                <w:rFonts w:ascii="Arial" w:hAnsi="Arial" w:cs="Arial"/>
                <w:b/>
                <w:bCs/>
              </w:rPr>
            </w:pPr>
            <w:r>
              <w:rPr>
                <w:rFonts w:ascii="Arial" w:hAnsi="Arial" w:cs="Arial"/>
                <w:b/>
                <w:bCs/>
              </w:rPr>
              <w:t>6. Good practice and enhancements to improve the student experience during the Covid pandemic</w:t>
            </w:r>
          </w:p>
          <w:p w14:paraId="3426FD70" w14:textId="770E43CF" w:rsidR="00E15794" w:rsidRDefault="00E15794" w:rsidP="00E15794">
            <w:pPr>
              <w:spacing w:before="120" w:after="120"/>
              <w:jc w:val="both"/>
              <w:rPr>
                <w:rFonts w:ascii="Arial" w:hAnsi="Arial" w:cs="Arial"/>
              </w:rPr>
            </w:pPr>
            <w:r>
              <w:rPr>
                <w:rFonts w:ascii="Arial" w:hAnsi="Arial" w:cs="Arial"/>
              </w:rPr>
              <w:t xml:space="preserve">Please report on any examples of good practice or enhancements to programme delivery or assessment which were introduced during the pandemic to compensate for constraints on normal learning and teaching that were imposed as a result of regional and national lockdowns. </w:t>
            </w:r>
          </w:p>
          <w:p w14:paraId="6D89C48F" w14:textId="496EE2C3" w:rsidR="00E15794" w:rsidRDefault="00E15794" w:rsidP="00E15794">
            <w:pPr>
              <w:spacing w:before="120" w:after="120"/>
              <w:jc w:val="both"/>
              <w:rPr>
                <w:rFonts w:ascii="Arial" w:hAnsi="Arial" w:cs="Arial"/>
              </w:rPr>
            </w:pPr>
            <w:r>
              <w:rPr>
                <w:rFonts w:ascii="Arial" w:hAnsi="Arial" w:cs="Arial"/>
              </w:rPr>
              <w:t>(Examples might include additional physical or virtual resources to support student home-working, creative new ways of conducting assessments, or new student support initiatives. PEIs are collecting evidence of such examples to counter perceptions that engineering students’ experience during the pandemic may not have met normal accreditation requirements, and that affected cohorts of students may therefore be less</w:t>
            </w:r>
            <w:r w:rsidR="008142EE">
              <w:rPr>
                <w:rFonts w:ascii="Arial" w:hAnsi="Arial" w:cs="Arial"/>
              </w:rPr>
              <w:t xml:space="preserve"> well-qualified than previously.)</w:t>
            </w:r>
          </w:p>
        </w:tc>
      </w:tr>
    </w:tbl>
    <w:p w14:paraId="0395BC1F" w14:textId="77777777" w:rsidR="00E15794" w:rsidRDefault="00E15794" w:rsidP="00E15794">
      <w:pPr>
        <w:spacing w:after="0" w:line="240" w:lineRule="auto"/>
        <w:rPr>
          <w:rFonts w:ascii="Arial" w:hAnsi="Arial" w:cs="Arial"/>
        </w:rPr>
      </w:pPr>
    </w:p>
    <w:tbl>
      <w:tblPr>
        <w:tblStyle w:val="TableGrid"/>
        <w:tblW w:w="10485" w:type="dxa"/>
        <w:tblLook w:val="04A0" w:firstRow="1" w:lastRow="0" w:firstColumn="1" w:lastColumn="0" w:noHBand="0" w:noVBand="1"/>
      </w:tblPr>
      <w:tblGrid>
        <w:gridCol w:w="10485"/>
      </w:tblGrid>
      <w:tr w:rsidR="00E15794" w14:paraId="6DD27E1B" w14:textId="77777777" w:rsidTr="0046144D">
        <w:trPr>
          <w:trHeight w:val="1134"/>
        </w:trPr>
        <w:tc>
          <w:tcPr>
            <w:tcW w:w="10485" w:type="dxa"/>
          </w:tcPr>
          <w:p w14:paraId="54E199B4" w14:textId="77777777" w:rsidR="00E15794" w:rsidRPr="0046144D" w:rsidRDefault="00E15794" w:rsidP="0046144D">
            <w:pPr>
              <w:spacing w:before="120" w:after="120"/>
              <w:jc w:val="both"/>
            </w:pPr>
          </w:p>
        </w:tc>
      </w:tr>
    </w:tbl>
    <w:p w14:paraId="60822E95" w14:textId="77777777" w:rsidR="00E15794" w:rsidRDefault="00E15794" w:rsidP="00E15794">
      <w:pPr>
        <w:spacing w:after="0" w:line="240" w:lineRule="auto"/>
        <w:rPr>
          <w:rFonts w:ascii="Arial" w:hAnsi="Arial" w:cs="Arial"/>
        </w:rPr>
      </w:pPr>
    </w:p>
    <w:sectPr w:rsidR="00E15794" w:rsidSect="0046144D">
      <w:footerReference w:type="defaul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EBF4F" w14:textId="77777777" w:rsidR="000472B0" w:rsidRDefault="000472B0" w:rsidP="007007E7">
      <w:pPr>
        <w:spacing w:after="0" w:line="240" w:lineRule="auto"/>
      </w:pPr>
      <w:r>
        <w:separator/>
      </w:r>
    </w:p>
  </w:endnote>
  <w:endnote w:type="continuationSeparator" w:id="0">
    <w:p w14:paraId="1C91F6E6" w14:textId="77777777" w:rsidR="000472B0" w:rsidRDefault="000472B0" w:rsidP="0070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9E1F" w14:textId="15AE5D13" w:rsidR="007007E7" w:rsidRDefault="005668BE" w:rsidP="007007E7">
    <w:pPr>
      <w:pStyle w:val="Footer"/>
    </w:pPr>
    <w:r>
      <w:fldChar w:fldCharType="begin"/>
    </w:r>
    <w:r>
      <w:instrText xml:space="preserve"> FILENAME \* MERGEFORMAT </w:instrText>
    </w:r>
    <w:r>
      <w:fldChar w:fldCharType="separate"/>
    </w:r>
    <w:r>
      <w:rPr>
        <w:noProof/>
      </w:rPr>
      <w:t>IET university-impact-reports-for-2020-21 template</w:t>
    </w:r>
    <w:r>
      <w:rPr>
        <w:noProof/>
      </w:rPr>
      <w:fldChar w:fldCharType="end"/>
    </w:r>
  </w:p>
  <w:p w14:paraId="512DA9ED" w14:textId="7687BF9E" w:rsidR="007007E7" w:rsidRDefault="009B7EFE" w:rsidP="000607F4">
    <w:pPr>
      <w:pStyle w:val="Footer"/>
    </w:pPr>
    <w:r>
      <w:t>28</w:t>
    </w:r>
    <w:r w:rsidR="007007E7">
      <w:t>/05/202</w:t>
    </w:r>
    <w:r>
      <w:t>1</w:t>
    </w:r>
    <w:r w:rsidR="000607F4">
      <w:t xml:space="preserve">,   </w:t>
    </w:r>
    <w:r w:rsidR="00D669CF">
      <w:t>V</w:t>
    </w:r>
    <w:r>
      <w:t>3</w:t>
    </w:r>
    <w:r w:rsidR="00D669CF">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2C7D2" w14:textId="77777777" w:rsidR="000472B0" w:rsidRDefault="000472B0" w:rsidP="007007E7">
      <w:pPr>
        <w:spacing w:after="0" w:line="240" w:lineRule="auto"/>
      </w:pPr>
      <w:r>
        <w:separator/>
      </w:r>
    </w:p>
  </w:footnote>
  <w:footnote w:type="continuationSeparator" w:id="0">
    <w:p w14:paraId="7D97D7ED" w14:textId="77777777" w:rsidR="000472B0" w:rsidRDefault="000472B0" w:rsidP="007007E7">
      <w:pPr>
        <w:spacing w:after="0" w:line="240" w:lineRule="auto"/>
      </w:pPr>
      <w:r>
        <w:continuationSeparator/>
      </w:r>
    </w:p>
  </w:footnote>
  <w:footnote w:id="1">
    <w:p w14:paraId="495492DD" w14:textId="504B3201" w:rsidR="001E2CF4" w:rsidRPr="00FE3481" w:rsidRDefault="001E2CF4" w:rsidP="0046144D">
      <w:pPr>
        <w:pStyle w:val="FootnoteText"/>
        <w:jc w:val="both"/>
        <w:rPr>
          <w:b/>
          <w:bCs/>
          <w:lang w:val="en-US"/>
        </w:rPr>
      </w:pPr>
      <w:r w:rsidRPr="00FE3481">
        <w:rPr>
          <w:rStyle w:val="FootnoteReference"/>
          <w:b/>
          <w:bCs/>
        </w:rPr>
        <w:t>*</w:t>
      </w:r>
      <w:r w:rsidRPr="00FE3481">
        <w:rPr>
          <w:rFonts w:ascii="Arial" w:hAnsi="Arial" w:cs="Arial"/>
          <w:b/>
          <w:bCs/>
          <w:sz w:val="18"/>
          <w:szCs w:val="18"/>
        </w:rPr>
        <w:t>Registration Code of Practice RCoP 4.0, rule 45 applies to studen</w:t>
      </w:r>
      <w:r w:rsidR="00FE3481" w:rsidRPr="00FE3481">
        <w:rPr>
          <w:rFonts w:ascii="Arial" w:hAnsi="Arial" w:cs="Arial"/>
          <w:b/>
          <w:bCs/>
          <w:sz w:val="18"/>
          <w:szCs w:val="18"/>
        </w:rPr>
        <w:t>t intakes</w:t>
      </w:r>
      <w:r w:rsidRPr="00FE3481">
        <w:rPr>
          <w:rFonts w:ascii="Arial" w:hAnsi="Arial" w:cs="Arial"/>
          <w:b/>
          <w:bCs/>
          <w:sz w:val="18"/>
          <w:szCs w:val="18"/>
        </w:rPr>
        <w:t xml:space="preserve"> from academic year 2022-23 onwards</w:t>
      </w:r>
      <w:r w:rsidR="00FE3481" w:rsidRPr="00FE3481">
        <w:rPr>
          <w:rFonts w:ascii="Arial" w:hAnsi="Arial" w:cs="Arial"/>
          <w:b/>
          <w:bCs/>
          <w:sz w:val="18"/>
          <w:szCs w:val="18"/>
        </w:rPr>
        <w:t xml:space="preserve">; current compensation and condonement agreed at the </w:t>
      </w:r>
      <w:r w:rsidR="00FE3481">
        <w:rPr>
          <w:rFonts w:ascii="Arial" w:hAnsi="Arial" w:cs="Arial"/>
          <w:b/>
          <w:bCs/>
          <w:sz w:val="18"/>
          <w:szCs w:val="18"/>
        </w:rPr>
        <w:t>most recent</w:t>
      </w:r>
      <w:r w:rsidR="00FE3481" w:rsidRPr="00FE3481">
        <w:rPr>
          <w:rFonts w:ascii="Arial" w:hAnsi="Arial" w:cs="Arial"/>
          <w:b/>
          <w:bCs/>
          <w:sz w:val="18"/>
          <w:szCs w:val="18"/>
        </w:rPr>
        <w:t xml:space="preserve"> accreditation applies until then.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41A9"/>
    <w:multiLevelType w:val="hybridMultilevel"/>
    <w:tmpl w:val="455E9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1720D9"/>
    <w:multiLevelType w:val="hybridMultilevel"/>
    <w:tmpl w:val="3FE45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D90C0D"/>
    <w:multiLevelType w:val="hybridMultilevel"/>
    <w:tmpl w:val="0812E7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604850"/>
    <w:multiLevelType w:val="hybridMultilevel"/>
    <w:tmpl w:val="BCBE5DFA"/>
    <w:lvl w:ilvl="0" w:tplc="FB9C597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D622D6"/>
    <w:multiLevelType w:val="hybridMultilevel"/>
    <w:tmpl w:val="9CB0994C"/>
    <w:lvl w:ilvl="0" w:tplc="75F80C0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CA67AC"/>
    <w:multiLevelType w:val="hybridMultilevel"/>
    <w:tmpl w:val="32E4E4F6"/>
    <w:lvl w:ilvl="0" w:tplc="36B2CA7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0E5AC0"/>
    <w:multiLevelType w:val="hybridMultilevel"/>
    <w:tmpl w:val="90D48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1"/>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8C4"/>
    <w:rsid w:val="000472B0"/>
    <w:rsid w:val="000607F4"/>
    <w:rsid w:val="00077977"/>
    <w:rsid w:val="00164AF2"/>
    <w:rsid w:val="00165F09"/>
    <w:rsid w:val="00171EB5"/>
    <w:rsid w:val="001E2CF4"/>
    <w:rsid w:val="00277357"/>
    <w:rsid w:val="0028512C"/>
    <w:rsid w:val="003002D2"/>
    <w:rsid w:val="003003B3"/>
    <w:rsid w:val="00352F97"/>
    <w:rsid w:val="00364670"/>
    <w:rsid w:val="00376C23"/>
    <w:rsid w:val="003B0615"/>
    <w:rsid w:val="004471F8"/>
    <w:rsid w:val="0046144D"/>
    <w:rsid w:val="00472CE1"/>
    <w:rsid w:val="00484DB6"/>
    <w:rsid w:val="004F7F26"/>
    <w:rsid w:val="00521F6A"/>
    <w:rsid w:val="00523D1C"/>
    <w:rsid w:val="0054539F"/>
    <w:rsid w:val="005668BE"/>
    <w:rsid w:val="005B3933"/>
    <w:rsid w:val="005D7FED"/>
    <w:rsid w:val="00613C5B"/>
    <w:rsid w:val="006155DA"/>
    <w:rsid w:val="006A2C82"/>
    <w:rsid w:val="006E4827"/>
    <w:rsid w:val="007007E7"/>
    <w:rsid w:val="0075502F"/>
    <w:rsid w:val="007929E3"/>
    <w:rsid w:val="008142EE"/>
    <w:rsid w:val="00861C22"/>
    <w:rsid w:val="00876AD0"/>
    <w:rsid w:val="008934A5"/>
    <w:rsid w:val="00903262"/>
    <w:rsid w:val="00911D9C"/>
    <w:rsid w:val="0094686E"/>
    <w:rsid w:val="009B7EFE"/>
    <w:rsid w:val="009C2845"/>
    <w:rsid w:val="009E74F4"/>
    <w:rsid w:val="00A26B84"/>
    <w:rsid w:val="00A307A1"/>
    <w:rsid w:val="00A809E9"/>
    <w:rsid w:val="00AA2965"/>
    <w:rsid w:val="00AC3396"/>
    <w:rsid w:val="00AD5E7B"/>
    <w:rsid w:val="00AE7AAF"/>
    <w:rsid w:val="00B56916"/>
    <w:rsid w:val="00BC11AF"/>
    <w:rsid w:val="00BE3D7F"/>
    <w:rsid w:val="00C228C4"/>
    <w:rsid w:val="00C32D36"/>
    <w:rsid w:val="00CE583F"/>
    <w:rsid w:val="00D218F2"/>
    <w:rsid w:val="00D31D29"/>
    <w:rsid w:val="00D669CF"/>
    <w:rsid w:val="00DE63FA"/>
    <w:rsid w:val="00E13107"/>
    <w:rsid w:val="00E15794"/>
    <w:rsid w:val="00E8770F"/>
    <w:rsid w:val="00EB0F2E"/>
    <w:rsid w:val="00EC1FC5"/>
    <w:rsid w:val="00EE4093"/>
    <w:rsid w:val="00F54C0A"/>
    <w:rsid w:val="00F93890"/>
    <w:rsid w:val="00FE348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B77D62"/>
  <w15:chartTrackingRefBased/>
  <w15:docId w15:val="{5A90E284-F0B2-460D-A353-F40D2A6EA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28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228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8C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228C4"/>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C22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07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7E7"/>
  </w:style>
  <w:style w:type="paragraph" w:styleId="Footer">
    <w:name w:val="footer"/>
    <w:basedOn w:val="Normal"/>
    <w:link w:val="FooterChar"/>
    <w:uiPriority w:val="99"/>
    <w:unhideWhenUsed/>
    <w:rsid w:val="007007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7E7"/>
  </w:style>
  <w:style w:type="paragraph" w:styleId="ListParagraph">
    <w:name w:val="List Paragraph"/>
    <w:basedOn w:val="Normal"/>
    <w:uiPriority w:val="34"/>
    <w:qFormat/>
    <w:rsid w:val="00861C22"/>
    <w:pPr>
      <w:ind w:left="720"/>
      <w:contextualSpacing/>
    </w:pPr>
  </w:style>
  <w:style w:type="character" w:styleId="Hyperlink">
    <w:name w:val="Hyperlink"/>
    <w:basedOn w:val="DefaultParagraphFont"/>
    <w:uiPriority w:val="99"/>
    <w:unhideWhenUsed/>
    <w:rsid w:val="00861C22"/>
    <w:rPr>
      <w:color w:val="0563C1" w:themeColor="hyperlink"/>
      <w:u w:val="single"/>
    </w:rPr>
  </w:style>
  <w:style w:type="paragraph" w:styleId="FootnoteText">
    <w:name w:val="footnote text"/>
    <w:basedOn w:val="Normal"/>
    <w:link w:val="FootnoteTextChar"/>
    <w:uiPriority w:val="99"/>
    <w:semiHidden/>
    <w:unhideWhenUsed/>
    <w:rsid w:val="001E2C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2CF4"/>
    <w:rPr>
      <w:sz w:val="20"/>
      <w:szCs w:val="20"/>
    </w:rPr>
  </w:style>
  <w:style w:type="character" w:styleId="FootnoteReference">
    <w:name w:val="footnote reference"/>
    <w:basedOn w:val="DefaultParagraphFont"/>
    <w:uiPriority w:val="99"/>
    <w:semiHidden/>
    <w:unhideWhenUsed/>
    <w:rsid w:val="001E2C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haredContentType xmlns="Microsoft.SharePoint.Taxonomy.ContentTypeSync" SourceId="d8babf21-7b9f-4df9-a21b-726cf852182b" ContentTypeId="0x0101003C8C4C19E051A5428899CD04930A6FBD04" PreviousValue="false"/>
</file>

<file path=customXml/item5.xml><?xml version="1.0" encoding="utf-8"?>
<ct:contentTypeSchema xmlns:ct="http://schemas.microsoft.com/office/2006/metadata/contentType" xmlns:ma="http://schemas.microsoft.com/office/2006/metadata/properties/metaAttributes" ct:_="" ma:_="" ma:contentTypeName="EngCouncil Standards Document" ma:contentTypeID="0x0101003C8C4C19E051A5428899CD04930A6FBD0400D80F13BC01209740856D057B070BF12F" ma:contentTypeVersion="26" ma:contentTypeDescription="" ma:contentTypeScope="" ma:versionID="4e7d4c4921def94ae8c63c250f6a1ea3">
  <xsd:schema xmlns:xsd="http://www.w3.org/2001/XMLSchema" xmlns:xs="http://www.w3.org/2001/XMLSchema" xmlns:p="http://schemas.microsoft.com/office/2006/metadata/properties" xmlns:ns1="http://schemas.microsoft.com/sharepoint/v3" xmlns:ns2="5c14b5e6-d47b-4e94-88f2-37465e17a641" xmlns:ns3="b3af856b-41dc-46a0-b0e3-8930eea1a687" xmlns:ns4="http://schemas.microsoft.com/sharepoint/v4" xmlns:ns5="40e343b3-9e75-41fc-a02f-4bdb2696ff6d" targetNamespace="http://schemas.microsoft.com/office/2006/metadata/properties" ma:root="true" ma:fieldsID="bb97991af918aa20ff18c44417ab944a" ns1:_="" ns2:_="" ns3:_="" ns4:_="" ns5:_="">
    <xsd:import namespace="http://schemas.microsoft.com/sharepoint/v3"/>
    <xsd:import namespace="5c14b5e6-d47b-4e94-88f2-37465e17a641"/>
    <xsd:import namespace="b3af856b-41dc-46a0-b0e3-8930eea1a687"/>
    <xsd:import namespace="http://schemas.microsoft.com/sharepoint/v4"/>
    <xsd:import namespace="40e343b3-9e75-41fc-a02f-4bdb2696ff6d"/>
    <xsd:element name="properties">
      <xsd:complexType>
        <xsd:sequence>
          <xsd:element name="documentManagement">
            <xsd:complexType>
              <xsd:all>
                <xsd:element ref="ns2:TaxCatchAll" minOccurs="0"/>
                <xsd:element ref="ns2:TaxCatchAllLabel" minOccurs="0"/>
                <xsd:element ref="ns2:Document_x0020_TypeTaxHTField0" minOccurs="0"/>
                <xsd:element ref="ns2:PATaxHTField0" minOccurs="0"/>
                <xsd:element ref="ns2:PEITaxHTField0" minOccurs="0"/>
                <xsd:element ref="ns2:Professional_x0020_TitleTaxHTField0" minOccurs="0"/>
                <xsd:element ref="ns2:External_x0020_Committees_x0020__x0028_Standards_x0029_TaxHTField0" minOccurs="0"/>
                <xsd:element ref="ns2:External_x0020_Organisations_x0020__x0028_Standards_x0029_TaxHTField0" minOccurs="0"/>
                <xsd:element ref="ns2:Meeting_x002F_Working_x0020_Group_x0020__x0028_Standards_x0029_TaxHTField0" minOccurs="0"/>
                <xsd:element ref="ns2:Topic_x0020__x0028_Standards_x0029_TaxHTField0" minOccurs="0"/>
                <xsd:element ref="ns2:Year" minOccurs="0"/>
                <xsd:element ref="ns3:_dlc_DocId" minOccurs="0"/>
                <xsd:element ref="ns3:_dlc_DocIdUrl" minOccurs="0"/>
                <xsd:element ref="ns3:_dlc_DocIdPersistId" minOccurs="0"/>
                <xsd:element ref="ns1:URL" minOccurs="0"/>
                <xsd:element ref="ns4:IconOverlay" minOccurs="0"/>
                <xsd:element ref="ns5: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30"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14b5e6-d47b-4e94-88f2-37465e17a641"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e7f082c9-16ed-4cf7-be80-432807a186e4}" ma:internalName="TaxCatchAll" ma:showField="CatchAllData" ma:web="f55d804d-7289-4bb1-94a1-f5de6adec34b">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e7f082c9-16ed-4cf7-be80-432807a186e4}" ma:internalName="TaxCatchAllLabel" ma:readOnly="true" ma:showField="CatchAllDataLabel" ma:web="f55d804d-7289-4bb1-94a1-f5de6adec34b">
      <xsd:complexType>
        <xsd:complexContent>
          <xsd:extension base="dms:MultiChoiceLookup">
            <xsd:sequence>
              <xsd:element name="Value" type="dms:Lookup" maxOccurs="unbounded" minOccurs="0" nillable="true"/>
            </xsd:sequence>
          </xsd:extension>
        </xsd:complexContent>
      </xsd:complexType>
    </xsd:element>
    <xsd:element name="Document_x0020_TypeTaxHTField0" ma:index="10" nillable="true" ma:taxonomy="true" ma:internalName="Document_x0020_TypeTaxHTField0" ma:taxonomyFieldName="Document_x0020_Type" ma:displayName="Document Type" ma:default="" ma:fieldId="{269a0fdf-4304-4528-979e-d49df25481aa}" ma:sspId="d8babf21-7b9f-4df9-a21b-726cf852182b" ma:termSetId="bed73d16-3240-4d1b-8547-90741dc53693" ma:anchorId="00000000-0000-0000-0000-000000000000" ma:open="false" ma:isKeyword="false">
      <xsd:complexType>
        <xsd:sequence>
          <xsd:element ref="pc:Terms" minOccurs="0" maxOccurs="1"/>
        </xsd:sequence>
      </xsd:complexType>
    </xsd:element>
    <xsd:element name="PATaxHTField0" ma:index="12" nillable="true" ma:taxonomy="true" ma:internalName="PATaxHTField0" ma:taxonomyFieldName="PA" ma:displayName="PA" ma:fieldId="{9ed95cbf-d9a8-48fd-8d28-ccad932618b8}" ma:sspId="d8babf21-7b9f-4df9-a21b-726cf852182b" ma:termSetId="bf5985ca-fd75-4d72-8fc5-b16df214f57f" ma:anchorId="00000000-0000-0000-0000-000000000000" ma:open="false" ma:isKeyword="false">
      <xsd:complexType>
        <xsd:sequence>
          <xsd:element ref="pc:Terms" minOccurs="0" maxOccurs="1"/>
        </xsd:sequence>
      </xsd:complexType>
    </xsd:element>
    <xsd:element name="PEITaxHTField0" ma:index="14" nillable="true" ma:taxonomy="true" ma:internalName="PEITaxHTField0" ma:taxonomyFieldName="PEI" ma:displayName="PEI" ma:fieldId="{9d37fe09-3f89-45e2-ba68-2c6f4d29289a}" ma:sspId="d8babf21-7b9f-4df9-a21b-726cf852182b" ma:termSetId="002b148a-9c3b-4a1f-8e52-bb3e7876e080" ma:anchorId="00000000-0000-0000-0000-000000000000" ma:open="false" ma:isKeyword="false">
      <xsd:complexType>
        <xsd:sequence>
          <xsd:element ref="pc:Terms" minOccurs="0" maxOccurs="1"/>
        </xsd:sequence>
      </xsd:complexType>
    </xsd:element>
    <xsd:element name="Professional_x0020_TitleTaxHTField0" ma:index="16" nillable="true" ma:taxonomy="true" ma:internalName="Professional_x0020_TitleTaxHTField0" ma:taxonomyFieldName="Professional_x0020_Title" ma:displayName="Professional Title" ma:default="" ma:fieldId="{51ed15f6-ade9-43a9-9154-9856adc298e6}" ma:sspId="d8babf21-7b9f-4df9-a21b-726cf852182b" ma:termSetId="72749ebe-afec-4e7a-94d6-002fef838f2e" ma:anchorId="00000000-0000-0000-0000-000000000000" ma:open="false" ma:isKeyword="false">
      <xsd:complexType>
        <xsd:sequence>
          <xsd:element ref="pc:Terms" minOccurs="0" maxOccurs="1"/>
        </xsd:sequence>
      </xsd:complexType>
    </xsd:element>
    <xsd:element name="External_x0020_Committees_x0020__x0028_Standards_x0029_TaxHTField0" ma:index="18" nillable="true" ma:taxonomy="true" ma:internalName="External_x0020_Committees_x0020__x0028_Standards_x0029_TaxHTField0" ma:taxonomyFieldName="External_x0020_Committees_x0020__x0028_Standards_x0029_" ma:displayName="External Committees (Standards)" ma:default="" ma:fieldId="{59881a6e-be6a-4b5c-b31c-9a48f9ed461d}" ma:sspId="d8babf21-7b9f-4df9-a21b-726cf852182b" ma:termSetId="930890b0-519d-4f36-bd38-1773f976f117" ma:anchorId="00000000-0000-0000-0000-000000000000" ma:open="false" ma:isKeyword="false">
      <xsd:complexType>
        <xsd:sequence>
          <xsd:element ref="pc:Terms" minOccurs="0" maxOccurs="1"/>
        </xsd:sequence>
      </xsd:complexType>
    </xsd:element>
    <xsd:element name="External_x0020_Organisations_x0020__x0028_Standards_x0029_TaxHTField0" ma:index="20" nillable="true" ma:taxonomy="true" ma:internalName="External_x0020_Organisations_x0020__x0028_Standards_x0029_TaxHTField0" ma:taxonomyFieldName="External_x0020_Organisations_x0020__x0028_Standards_x0029_" ma:displayName="External Organisations (Standards)" ma:default="" ma:fieldId="{90d2a205-c5e4-46a4-9f28-3033b91ace3d}" ma:taxonomyMulti="true" ma:sspId="d8babf21-7b9f-4df9-a21b-726cf852182b" ma:termSetId="2af1eb5a-9fc3-43cd-b615-23d1c72e1a36" ma:anchorId="00000000-0000-0000-0000-000000000000" ma:open="false" ma:isKeyword="false">
      <xsd:complexType>
        <xsd:sequence>
          <xsd:element ref="pc:Terms" minOccurs="0" maxOccurs="1"/>
        </xsd:sequence>
      </xsd:complexType>
    </xsd:element>
    <xsd:element name="Meeting_x002F_Working_x0020_Group_x0020__x0028_Standards_x0029_TaxHTField0" ma:index="22" nillable="true" ma:taxonomy="true" ma:internalName="Meeting_x002F_Working_x0020_Group_x0020__x0028_Standards_x0029_TaxHTField0" ma:taxonomyFieldName="Meeting_x002F_Working_x0020_Group_x0020__x0028_Standards_x0029_" ma:displayName="Meeting/Working Group (Standards)" ma:default="" ma:fieldId="{d4bde247-89e0-4ab7-99ce-ab37811ad7ec}" ma:sspId="d8babf21-7b9f-4df9-a21b-726cf852182b" ma:termSetId="450db4b7-8e1a-4ce8-adc5-4ea9c0a1e3cc" ma:anchorId="00000000-0000-0000-0000-000000000000" ma:open="true" ma:isKeyword="false">
      <xsd:complexType>
        <xsd:sequence>
          <xsd:element ref="pc:Terms" minOccurs="0" maxOccurs="1"/>
        </xsd:sequence>
      </xsd:complexType>
    </xsd:element>
    <xsd:element name="Topic_x0020__x0028_Standards_x0029_TaxHTField0" ma:index="24" nillable="true" ma:taxonomy="true" ma:internalName="Topic_x0020__x0028_Standards_x0029_TaxHTField0" ma:taxonomyFieldName="Topic_x0020__x0028_Standards_x0029_" ma:displayName="Topic (Standards)" ma:default="" ma:fieldId="{4a04201d-5bcd-437b-b067-63093b6b4c72}" ma:sspId="d8babf21-7b9f-4df9-a21b-726cf852182b" ma:termSetId="096934a3-1c02-4d6f-bf67-ef5f4fa85bdd" ma:anchorId="00000000-0000-0000-0000-000000000000" ma:open="false" ma:isKeyword="false">
      <xsd:complexType>
        <xsd:sequence>
          <xsd:element ref="pc:Terms" minOccurs="0" maxOccurs="1"/>
        </xsd:sequence>
      </xsd:complexType>
    </xsd:element>
    <xsd:element name="Year" ma:index="26" nillable="true" ma:displayName="Year" ma:format="DateOnly" ma:internalName="Yea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3af856b-41dc-46a0-b0e3-8930eea1a687" elementFormDefault="qualified">
    <xsd:import namespace="http://schemas.microsoft.com/office/2006/documentManagement/types"/>
    <xsd:import namespace="http://schemas.microsoft.com/office/infopath/2007/PartnerControls"/>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e343b3-9e75-41fc-a02f-4bdb2696ff6d" elementFormDefault="qualified">
    <xsd:import namespace="http://schemas.microsoft.com/office/2006/documentManagement/types"/>
    <xsd:import namespace="http://schemas.microsoft.com/office/infopath/2007/PartnerControls"/>
    <xsd:element name="Meeting_x0020_Date" ma:index="32"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rofessional_x0020_TitleTaxHTField0 xmlns="5c14b5e6-d47b-4e94-88f2-37465e17a641">
      <Terms xmlns="http://schemas.microsoft.com/office/infopath/2007/PartnerControls"/>
    </Professional_x0020_TitleTaxHTField0>
    <Topic_x0020__x0028_Standards_x0029_TaxHTField0 xmlns="5c14b5e6-d47b-4e94-88f2-37465e17a641">
      <Terms xmlns="http://schemas.microsoft.com/office/infopath/2007/PartnerControls"/>
    </Topic_x0020__x0028_Standards_x0029_TaxHTField0>
    <URL xmlns="http://schemas.microsoft.com/sharepoint/v3">
      <Url xsi:nil="true"/>
      <Description xsi:nil="true"/>
    </URL>
    <Meeting_x002F_Working_x0020_Group_x0020__x0028_Standards_x0029_TaxHTField0 xmlns="5c14b5e6-d47b-4e94-88f2-37465e17a641">
      <Terms xmlns="http://schemas.microsoft.com/office/infopath/2007/PartnerControls"/>
    </Meeting_x002F_Working_x0020_Group_x0020__x0028_Standards_x0029_TaxHTField0>
    <External_x0020_Organisations_x0020__x0028_Standards_x0029_TaxHTField0 xmlns="5c14b5e6-d47b-4e94-88f2-37465e17a641">
      <Terms xmlns="http://schemas.microsoft.com/office/infopath/2007/PartnerControls"/>
    </External_x0020_Organisations_x0020__x0028_Standards_x0029_TaxHTField0>
    <Year xmlns="5c14b5e6-d47b-4e94-88f2-37465e17a641">2020-03-30T23:00:00+00:00</Year>
    <External_x0020_Committees_x0020__x0028_Standards_x0029_TaxHTField0 xmlns="5c14b5e6-d47b-4e94-88f2-37465e17a641">
      <Terms xmlns="http://schemas.microsoft.com/office/infopath/2007/PartnerControls"/>
    </External_x0020_Committees_x0020__x0028_Standards_x0029_TaxHTField0>
    <Document_x0020_TypeTaxHTField0 xmlns="5c14b5e6-d47b-4e94-88f2-37465e17a641">
      <Terms xmlns="http://schemas.microsoft.com/office/infopath/2007/PartnerControls"/>
    </Document_x0020_TypeTaxHTField0>
    <PATaxHTField0 xmlns="5c14b5e6-d47b-4e94-88f2-37465e17a641">
      <Terms xmlns="http://schemas.microsoft.com/office/infopath/2007/PartnerControls"/>
    </PATaxHTField0>
    <TaxCatchAll xmlns="5c14b5e6-d47b-4e94-88f2-37465e17a641">
      <Value>39</Value>
    </TaxCatchAll>
    <PEITaxHTField0 xmlns="5c14b5e6-d47b-4e94-88f2-37465e17a641">
      <Terms xmlns="http://schemas.microsoft.com/office/infopath/2007/PartnerControls">
        <TermInfo xmlns="http://schemas.microsoft.com/office/infopath/2007/PartnerControls">
          <TermName xmlns="http://schemas.microsoft.com/office/infopath/2007/PartnerControls">IET</TermName>
          <TermId xmlns="http://schemas.microsoft.com/office/infopath/2007/PartnerControls">34287492-bd75-44f7-9c92-713cf695242c</TermId>
        </TermInfo>
      </Terms>
    </PEITaxHTField0>
    <IconOverlay xmlns="http://schemas.microsoft.com/sharepoint/v4" xsi:nil="true"/>
    <Meeting_x0020_Date xmlns="40e343b3-9e75-41fc-a02f-4bdb2696ff6d" xsi:nil="true"/>
  </documentManagement>
</p:properties>
</file>

<file path=customXml/itemProps1.xml><?xml version="1.0" encoding="utf-8"?>
<ds:datastoreItem xmlns:ds="http://schemas.openxmlformats.org/officeDocument/2006/customXml" ds:itemID="{9A921082-3C88-A342-BD43-9482564832AA}">
  <ds:schemaRefs>
    <ds:schemaRef ds:uri="http://schemas.openxmlformats.org/officeDocument/2006/bibliography"/>
  </ds:schemaRefs>
</ds:datastoreItem>
</file>

<file path=customXml/itemProps2.xml><?xml version="1.0" encoding="utf-8"?>
<ds:datastoreItem xmlns:ds="http://schemas.openxmlformats.org/officeDocument/2006/customXml" ds:itemID="{25CB3103-8ED4-4667-ACA7-C17AA2449DBF}">
  <ds:schemaRefs>
    <ds:schemaRef ds:uri="http://schemas.microsoft.com/sharepoint/events"/>
  </ds:schemaRefs>
</ds:datastoreItem>
</file>

<file path=customXml/itemProps3.xml><?xml version="1.0" encoding="utf-8"?>
<ds:datastoreItem xmlns:ds="http://schemas.openxmlformats.org/officeDocument/2006/customXml" ds:itemID="{C95557BC-C6D4-4E5F-ACEE-6657661F40BC}">
  <ds:schemaRefs>
    <ds:schemaRef ds:uri="http://schemas.microsoft.com/office/2006/metadata/customXsn"/>
  </ds:schemaRefs>
</ds:datastoreItem>
</file>

<file path=customXml/itemProps4.xml><?xml version="1.0" encoding="utf-8"?>
<ds:datastoreItem xmlns:ds="http://schemas.openxmlformats.org/officeDocument/2006/customXml" ds:itemID="{56288822-D51F-496F-9A3C-2A93051BC0C9}">
  <ds:schemaRefs>
    <ds:schemaRef ds:uri="Microsoft.SharePoint.Taxonomy.ContentTypeSync"/>
  </ds:schemaRefs>
</ds:datastoreItem>
</file>

<file path=customXml/itemProps5.xml><?xml version="1.0" encoding="utf-8"?>
<ds:datastoreItem xmlns:ds="http://schemas.openxmlformats.org/officeDocument/2006/customXml" ds:itemID="{8B68E066-68B5-4BCC-849D-68F1CC5ED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14b5e6-d47b-4e94-88f2-37465e17a641"/>
    <ds:schemaRef ds:uri="b3af856b-41dc-46a0-b0e3-8930eea1a687"/>
    <ds:schemaRef ds:uri="http://schemas.microsoft.com/sharepoint/v4"/>
    <ds:schemaRef ds:uri="40e343b3-9e75-41fc-a02f-4bdb2696f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8F6083A-78EF-4748-86D0-A61149EBB7D0}">
  <ds:schemaRefs>
    <ds:schemaRef ds:uri="http://schemas.microsoft.com/sharepoint/v3/contenttype/forms"/>
  </ds:schemaRefs>
</ds:datastoreItem>
</file>

<file path=customXml/itemProps7.xml><?xml version="1.0" encoding="utf-8"?>
<ds:datastoreItem xmlns:ds="http://schemas.openxmlformats.org/officeDocument/2006/customXml" ds:itemID="{43433C9C-34CD-462C-A52B-4E0208010860}">
  <ds:schemaRefs>
    <ds:schemaRef ds:uri="http://purl.org/dc/elements/1.1/"/>
    <ds:schemaRef ds:uri="http://schemas.microsoft.com/office/2006/metadata/properties"/>
    <ds:schemaRef ds:uri="http://schemas.microsoft.com/sharepoint/v4"/>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40e343b3-9e75-41fc-a02f-4bdb2696ff6d"/>
    <ds:schemaRef ds:uri="b3af856b-41dc-46a0-b0e3-8930eea1a687"/>
    <ds:schemaRef ds:uri="5c14b5e6-d47b-4e94-88f2-37465e17a64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1173</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Impact Report</vt:lpstr>
    </vt:vector>
  </TitlesOfParts>
  <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Report</dc:title>
  <dc:subject/>
  <dc:creator>Marta Cipolla</dc:creator>
  <cp:keywords/>
  <dc:description/>
  <cp:lastModifiedBy>Charles McArthur</cp:lastModifiedBy>
  <cp:revision>2</cp:revision>
  <cp:lastPrinted>2021-09-27T15:01:00Z</cp:lastPrinted>
  <dcterms:created xsi:type="dcterms:W3CDTF">2021-09-27T15:03:00Z</dcterms:created>
  <dcterms:modified xsi:type="dcterms:W3CDTF">2021-09-27T15:03:00Z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EI">
    <vt:lpwstr>39;#IET|34287492-bd75-44f7-9c92-713cf695242c</vt:lpwstr>
  </property>
  <property fmtid="{D5CDD505-2E9C-101B-9397-08002B2CF9AE}" pid="3" name="Order">
    <vt:r8>334500</vt:r8>
  </property>
  <property fmtid="{D5CDD505-2E9C-101B-9397-08002B2CF9AE}" pid="4" name="Meeting/Working Group (Standards)">
    <vt:lpwstr/>
  </property>
  <property fmtid="{D5CDD505-2E9C-101B-9397-08002B2CF9AE}" pid="5" name="Topic (Standards)">
    <vt:lpwstr/>
  </property>
  <property fmtid="{D5CDD505-2E9C-101B-9397-08002B2CF9AE}" pid="6" name="Professional Title">
    <vt:lpwstr/>
  </property>
  <property fmtid="{D5CDD505-2E9C-101B-9397-08002B2CF9AE}" pid="7" name="PA">
    <vt:lpwstr/>
  </property>
  <property fmtid="{D5CDD505-2E9C-101B-9397-08002B2CF9AE}" pid="8" name="ContentTypeId">
    <vt:lpwstr>0x0101003C8C4C19E051A5428899CD04930A6FBD0400D80F13BC01209740856D057B070BF12F</vt:lpwstr>
  </property>
  <property fmtid="{D5CDD505-2E9C-101B-9397-08002B2CF9AE}" pid="9" name="Document Type">
    <vt:lpwstr/>
  </property>
  <property fmtid="{D5CDD505-2E9C-101B-9397-08002B2CF9AE}" pid="10" name="External Organisations (Standards)">
    <vt:lpwstr/>
  </property>
  <property fmtid="{D5CDD505-2E9C-101B-9397-08002B2CF9AE}" pid="11" name="External Committees (Standards)">
    <vt:lpwstr/>
  </property>
</Properties>
</file>